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6D" w:rsidRDefault="005F06EA" w:rsidP="00223225">
      <w:pPr>
        <w:pStyle w:val="Title"/>
      </w:pPr>
      <w:r>
        <w:t>Úloha 0.</w:t>
      </w:r>
      <w:r w:rsidR="00B6526D">
        <w:t xml:space="preserve"> Měření objemu tuhých těles</w:t>
      </w:r>
    </w:p>
    <w:p w:rsidR="00B6526D" w:rsidRDefault="00B6526D" w:rsidP="00E56E07">
      <w:pPr>
        <w:pStyle w:val="Heading1"/>
      </w:pPr>
      <w:r>
        <w:t>1. Úkol měření</w:t>
      </w:r>
    </w:p>
    <w:p w:rsidR="00B6526D" w:rsidRDefault="00B6526D" w:rsidP="00B6526D">
      <w:pPr>
        <w:pStyle w:val="ListParagraph"/>
        <w:numPr>
          <w:ilvl w:val="0"/>
          <w:numId w:val="1"/>
        </w:numPr>
      </w:pPr>
      <w:r>
        <w:t>Změřte objem hranolu a válce přímou metodou.</w:t>
      </w:r>
    </w:p>
    <w:p w:rsidR="00B6526D" w:rsidRDefault="00B6526D" w:rsidP="00B6526D">
      <w:pPr>
        <w:pStyle w:val="ListParagraph"/>
        <w:numPr>
          <w:ilvl w:val="0"/>
          <w:numId w:val="1"/>
        </w:numPr>
      </w:pPr>
      <w:r>
        <w:t xml:space="preserve">Vypočítejte z naměřených hodnot </w:t>
      </w:r>
      <w:r w:rsidR="00EC2473">
        <w:t>standardní kombinovanou nejistotu</w:t>
      </w:r>
      <w:r>
        <w:t xml:space="preserve"> jednotlivých rozměrů zkoumaného tělesa.</w:t>
      </w:r>
    </w:p>
    <w:p w:rsidR="00B6526D" w:rsidRDefault="00B6526D" w:rsidP="00662EDD">
      <w:pPr>
        <w:pStyle w:val="ListParagraph"/>
        <w:numPr>
          <w:ilvl w:val="0"/>
          <w:numId w:val="1"/>
        </w:numPr>
      </w:pPr>
      <w:r>
        <w:t xml:space="preserve">Vypočítejte </w:t>
      </w:r>
      <w:r w:rsidR="00AA21FB">
        <w:t xml:space="preserve">standardní kombinovanou nejistotu </w:t>
      </w:r>
      <w:r>
        <w:t>měření objemu tělesa.</w:t>
      </w:r>
    </w:p>
    <w:p w:rsidR="00EC63FA" w:rsidRDefault="00EC63FA" w:rsidP="00EC63FA">
      <w:pPr>
        <w:pStyle w:val="Heading1"/>
      </w:pPr>
      <w:r>
        <w:t>2. Postup měření</w:t>
      </w:r>
    </w:p>
    <w:p w:rsidR="00EC63FA" w:rsidRDefault="00B64518" w:rsidP="00662EDD">
      <w:pPr>
        <w:pStyle w:val="ListParagraph"/>
        <w:numPr>
          <w:ilvl w:val="0"/>
          <w:numId w:val="2"/>
        </w:numPr>
      </w:pPr>
      <w:r>
        <w:t>Provedeme měření rozměrů</w:t>
      </w:r>
      <w:r w:rsidR="00AF04CA">
        <w:t xml:space="preserve"> </w:t>
      </w:r>
      <w:r>
        <w:t>hranolu a válce.</w:t>
      </w:r>
    </w:p>
    <w:p w:rsidR="00B64518" w:rsidRDefault="00B64518" w:rsidP="00662EDD">
      <w:pPr>
        <w:pStyle w:val="ListParagraph"/>
        <w:numPr>
          <w:ilvl w:val="0"/>
          <w:numId w:val="2"/>
        </w:numPr>
      </w:pPr>
      <w:r>
        <w:t>Každý rozměr zjistíme 10x.</w:t>
      </w:r>
    </w:p>
    <w:p w:rsidR="00B64518" w:rsidRDefault="00B64518" w:rsidP="00662EDD">
      <w:pPr>
        <w:pStyle w:val="ListParagraph"/>
        <w:numPr>
          <w:ilvl w:val="0"/>
          <w:numId w:val="2"/>
        </w:numPr>
      </w:pPr>
      <w:r>
        <w:t>K dispozici máme posuvku a mikrometr.</w:t>
      </w:r>
    </w:p>
    <w:p w:rsidR="00623570" w:rsidRDefault="00623570" w:rsidP="00623570">
      <w:pPr>
        <w:pStyle w:val="Heading1"/>
      </w:pPr>
      <w:r>
        <w:t>3. Použité přístroje</w:t>
      </w:r>
    </w:p>
    <w:p w:rsidR="00E4225C" w:rsidRDefault="007F3E67" w:rsidP="00E4225C">
      <w:pPr>
        <w:pStyle w:val="ListParagraph"/>
        <w:numPr>
          <w:ilvl w:val="0"/>
          <w:numId w:val="3"/>
        </w:numPr>
      </w:pPr>
      <w:r>
        <w:t>P</w:t>
      </w:r>
      <w:r w:rsidR="00485E64">
        <w:t>osuvka</w:t>
      </w:r>
    </w:p>
    <w:p w:rsidR="00485E64" w:rsidRDefault="00FE5673" w:rsidP="00485E64">
      <w:pPr>
        <w:pStyle w:val="ListParagraph"/>
        <w:numPr>
          <w:ilvl w:val="1"/>
          <w:numId w:val="3"/>
        </w:numPr>
      </w:pPr>
      <w:r>
        <w:t>Chyba rozlišení 0.05 mm.</w:t>
      </w:r>
    </w:p>
    <w:p w:rsidR="00FE5673" w:rsidRDefault="00FE5673" w:rsidP="00FE5673">
      <w:pPr>
        <w:pStyle w:val="ListParagraph"/>
        <w:numPr>
          <w:ilvl w:val="0"/>
          <w:numId w:val="3"/>
        </w:numPr>
      </w:pPr>
      <w:r>
        <w:t>Mikrometr</w:t>
      </w:r>
    </w:p>
    <w:p w:rsidR="00FE5673" w:rsidRDefault="00FE5673" w:rsidP="00FE5673">
      <w:pPr>
        <w:pStyle w:val="ListParagraph"/>
        <w:numPr>
          <w:ilvl w:val="1"/>
          <w:numId w:val="3"/>
        </w:numPr>
      </w:pPr>
      <w:r>
        <w:t>Chyba rozlišení 0.01 mm.</w:t>
      </w:r>
    </w:p>
    <w:p w:rsidR="00B83B12" w:rsidRDefault="004F21C1" w:rsidP="007A2CAE">
      <w:pPr>
        <w:pStyle w:val="Heading1"/>
      </w:pPr>
      <w:r>
        <w:t>4. Naměřené hodnoty</w:t>
      </w:r>
    </w:p>
    <w:p w:rsidR="007A2CAE" w:rsidRPr="007A2CAE" w:rsidRDefault="007A2CAE" w:rsidP="007A2CAE"/>
    <w:p w:rsidR="00D64023" w:rsidRDefault="003C6D63" w:rsidP="00D64023">
      <w:pPr>
        <w:ind w:left="0" w:firstLine="0"/>
      </w:pPr>
      <w:r>
        <w:object w:dxaOrig="8556" w:dyaOrig="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230.25pt" o:ole="">
            <v:imagedata r:id="rId5" o:title=""/>
          </v:shape>
          <o:OLEObject Type="Embed" ProgID="Excel.Sheet.12" ShapeID="_x0000_i1025" DrawAspect="Content" ObjectID="_1324762504" r:id="rId6"/>
        </w:object>
      </w:r>
      <w:r w:rsidR="00D64023">
        <w:t xml:space="preserve">Pozn.: Rozměry </w:t>
      </w:r>
      <w:r w:rsidR="00D64023" w:rsidRPr="00D64023">
        <w:rPr>
          <w:i/>
        </w:rPr>
        <w:t>a, b, h</w:t>
      </w:r>
      <w:r w:rsidR="00D64023">
        <w:t xml:space="preserve"> měřeny posuvkou, rozměry </w:t>
      </w:r>
      <w:r w:rsidR="00D64023" w:rsidRPr="00D64023">
        <w:rPr>
          <w:i/>
        </w:rPr>
        <w:t>c, d</w:t>
      </w:r>
      <w:r w:rsidR="00D64023">
        <w:t xml:space="preserve"> mikrometrem</w:t>
      </w:r>
    </w:p>
    <w:p w:rsidR="00421196" w:rsidRDefault="00421196" w:rsidP="00D64023">
      <w:pPr>
        <w:ind w:left="0" w:firstLine="0"/>
      </w:pPr>
    </w:p>
    <w:p w:rsidR="00FA0958" w:rsidRDefault="00FA0958" w:rsidP="00FA0958">
      <w:pPr>
        <w:pStyle w:val="ListParagraph"/>
        <w:numPr>
          <w:ilvl w:val="0"/>
          <w:numId w:val="5"/>
        </w:numPr>
      </w:pPr>
      <w:r>
        <w:t>Aritmetický průměr</w:t>
      </w:r>
    </w:p>
    <w:p w:rsidR="009A3C39" w:rsidRDefault="00FA523B" w:rsidP="009A3C39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</m:oMath>
      </m:oMathPara>
    </w:p>
    <w:p w:rsidR="007C147F" w:rsidRPr="007C147F" w:rsidRDefault="007C147F" w:rsidP="009A3C39">
      <w:r>
        <w:tab/>
        <w:t>kde n je počet měření a x</w:t>
      </w:r>
      <w:r>
        <w:rPr>
          <w:vertAlign w:val="subscript"/>
        </w:rPr>
        <w:t>k</w:t>
      </w:r>
      <w:r>
        <w:t xml:space="preserve"> jednotlivé naměřené hodnoty</w:t>
      </w:r>
    </w:p>
    <w:p w:rsidR="00A66588" w:rsidRDefault="0050363A" w:rsidP="00A66588">
      <w:pPr>
        <w:pStyle w:val="Heading1"/>
      </w:pPr>
      <w:r>
        <w:t>5. Nejistota</w:t>
      </w:r>
      <w:r w:rsidR="00A66588">
        <w:t xml:space="preserve"> přímého měření</w:t>
      </w:r>
    </w:p>
    <w:p w:rsidR="00BC61C9" w:rsidRDefault="00A66588" w:rsidP="00784F53">
      <w:pPr>
        <w:pStyle w:val="Heading2"/>
      </w:pPr>
      <w:r>
        <w:t>5</w:t>
      </w:r>
      <w:r w:rsidR="00BC61C9">
        <w:t>.1. Standardní nejistota typu A</w:t>
      </w:r>
    </w:p>
    <w:p w:rsidR="004F377E" w:rsidRDefault="004F377E" w:rsidP="004F377E">
      <w:pPr>
        <w:pStyle w:val="ListParagraph"/>
        <w:numPr>
          <w:ilvl w:val="0"/>
          <w:numId w:val="5"/>
        </w:numPr>
      </w:pPr>
      <w:r>
        <w:t>Jedná se o směrodatnou odchylku aritmetického průměru.</w:t>
      </w:r>
    </w:p>
    <w:p w:rsidR="007C147F" w:rsidRDefault="007C147F" w:rsidP="004F377E">
      <w:pPr>
        <w:pStyle w:val="ListParagraph"/>
        <w:numPr>
          <w:ilvl w:val="0"/>
          <w:numId w:val="5"/>
        </w:numPr>
      </w:pPr>
      <w:r>
        <w:t>Obecně</w:t>
      </w:r>
    </w:p>
    <w:p w:rsidR="007C147F" w:rsidRPr="006666D4" w:rsidRDefault="007C147F" w:rsidP="007C147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</m:den>
              </m:f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</w:rPr>
                    <m:t>=0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6666D4" w:rsidRDefault="006666D4" w:rsidP="007C147F">
      <w:r>
        <w:tab/>
        <w:t>kde n je počet měření, x</w:t>
      </w:r>
      <w:r>
        <w:rPr>
          <w:vertAlign w:val="subscript"/>
        </w:rPr>
        <w:t>k</w:t>
      </w:r>
      <w:r>
        <w:t xml:space="preserve"> jsou jednotlivé naměřené hodnoty 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aritmetický průměr</w:t>
      </w:r>
    </w:p>
    <w:p w:rsidR="00841132" w:rsidRDefault="00EA091F" w:rsidP="00841132">
      <w:pPr>
        <w:pStyle w:val="ListParagraph"/>
        <w:numPr>
          <w:ilvl w:val="0"/>
          <w:numId w:val="6"/>
        </w:numPr>
      </w:pPr>
      <w:r>
        <w:t>Pro jednotlivé rozměry</w:t>
      </w:r>
    </w:p>
    <w:p w:rsidR="00EA091F" w:rsidRPr="005720AC" w:rsidRDefault="003249FC" w:rsidP="00EA091F">
      <w:pPr>
        <w:pStyle w:val="ListParagraph"/>
        <w:numPr>
          <w:ilvl w:val="1"/>
          <w:numId w:val="6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0.0263 mm</m:t>
        </m:r>
      </m:oMath>
    </w:p>
    <w:p w:rsidR="005720AC" w:rsidRPr="006666D4" w:rsidRDefault="005720AC" w:rsidP="005720AC">
      <w:pPr>
        <w:pStyle w:val="ListParagraph"/>
        <w:numPr>
          <w:ilvl w:val="1"/>
          <w:numId w:val="6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0.0371</m:t>
        </m:r>
        <m:r>
          <w:rPr>
            <w:rFonts w:ascii="Cambria Math" w:hAnsi="Cambria Math"/>
          </w:rPr>
          <m:t xml:space="preserve"> mm</m:t>
        </m:r>
      </m:oMath>
    </w:p>
    <w:p w:rsidR="005720AC" w:rsidRPr="006666D4" w:rsidRDefault="005720AC" w:rsidP="005720AC">
      <w:pPr>
        <w:pStyle w:val="ListParagraph"/>
        <w:numPr>
          <w:ilvl w:val="1"/>
          <w:numId w:val="6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0.0319</m:t>
        </m:r>
        <m:r>
          <w:rPr>
            <w:rFonts w:ascii="Cambria Math" w:hAnsi="Cambria Math"/>
          </w:rPr>
          <m:t xml:space="preserve"> mm</m:t>
        </m:r>
      </m:oMath>
    </w:p>
    <w:p w:rsidR="005720AC" w:rsidRPr="006666D4" w:rsidRDefault="005720AC" w:rsidP="005720AC">
      <w:pPr>
        <w:pStyle w:val="ListParagraph"/>
        <w:numPr>
          <w:ilvl w:val="1"/>
          <w:numId w:val="6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0.0095</m:t>
        </m:r>
        <m:r>
          <w:rPr>
            <w:rFonts w:ascii="Cambria Math" w:hAnsi="Cambria Math"/>
          </w:rPr>
          <m:t xml:space="preserve"> mm</m:t>
        </m:r>
      </m:oMath>
    </w:p>
    <w:p w:rsidR="005720AC" w:rsidRPr="005720AC" w:rsidRDefault="005720AC" w:rsidP="005720AC">
      <w:pPr>
        <w:pStyle w:val="ListParagraph"/>
        <w:numPr>
          <w:ilvl w:val="1"/>
          <w:numId w:val="6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0.0279</m:t>
        </m:r>
        <m:r>
          <w:rPr>
            <w:rFonts w:ascii="Cambria Math" w:hAnsi="Cambria Math"/>
          </w:rPr>
          <m:t xml:space="preserve"> mm</m:t>
        </m:r>
      </m:oMath>
    </w:p>
    <w:p w:rsidR="00784F53" w:rsidRDefault="00A66588" w:rsidP="00784F53">
      <w:pPr>
        <w:pStyle w:val="Heading2"/>
      </w:pPr>
      <w:r>
        <w:t>5</w:t>
      </w:r>
      <w:r w:rsidR="00CF6D1C">
        <w:t>.2</w:t>
      </w:r>
      <w:r w:rsidR="00632C60">
        <w:t xml:space="preserve">. </w:t>
      </w:r>
      <w:r w:rsidR="00784F53">
        <w:t>Standardní nejistota typu B</w:t>
      </w:r>
    </w:p>
    <w:p w:rsidR="008F287A" w:rsidRDefault="00CA5389" w:rsidP="008F287A">
      <w:pPr>
        <w:pStyle w:val="ListParagraph"/>
        <w:numPr>
          <w:ilvl w:val="0"/>
          <w:numId w:val="4"/>
        </w:numPr>
      </w:pPr>
      <w:r>
        <w:t xml:space="preserve">Předpokládáme rovnoměrné rozdělení pravděpodobnosti, protože výskyt kterékoli chyby je stejně pravděpodobný =&gt; </w:t>
      </w:r>
      <w:r w:rsidR="00ED2788">
        <w:t xml:space="preserve">koeficient rozdělení </w:t>
      </w:r>
      <m:oMath>
        <m:r>
          <w:rPr>
            <w:rFonts w:ascii="Cambria Math" w:hAnsi="Cambria Math"/>
          </w:rPr>
          <m:t>k=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8F287A" w:rsidRDefault="00A66588" w:rsidP="008F287A">
      <w:pPr>
        <w:pStyle w:val="Heading3"/>
      </w:pPr>
      <w:r>
        <w:t>5</w:t>
      </w:r>
      <w:r w:rsidR="008F287A">
        <w:t>.</w:t>
      </w:r>
      <w:r w:rsidR="00CF6D1C">
        <w:t>2</w:t>
      </w:r>
      <w:r w:rsidR="008F287A">
        <w:t xml:space="preserve">.1. Pro </w:t>
      </w:r>
      <w:r w:rsidR="00805A8C">
        <w:t>měření pomocí posuvky</w:t>
      </w:r>
      <w:r w:rsidR="00E72A78">
        <w:t xml:space="preserve"> (u</w:t>
      </w:r>
      <w:r w:rsidR="00E72A78">
        <w:rPr>
          <w:vertAlign w:val="subscript"/>
        </w:rPr>
        <w:t>B,pos</w:t>
      </w:r>
      <w:r w:rsidR="00E72A78">
        <w:t>)</w:t>
      </w:r>
    </w:p>
    <w:p w:rsidR="008F287A" w:rsidRDefault="00E52E6B" w:rsidP="00E72A78">
      <w:pPr>
        <w:pStyle w:val="ListParagraph"/>
        <w:numPr>
          <w:ilvl w:val="0"/>
          <w:numId w:val="4"/>
        </w:numPr>
      </w:pPr>
      <w:r>
        <w:t>Nejistota způsobená chybou měřidla</w:t>
      </w:r>
    </w:p>
    <w:p w:rsidR="00E52E6B" w:rsidRDefault="00FA523B" w:rsidP="00E52E6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B,pos,1</m:t>
              </m:r>
            </m:sub>
          </m:sSub>
          <m:r>
            <w:rPr>
              <w:rFonts w:ascii="Cambria Math" w:hAnsi="Cambria Math"/>
            </w:rPr>
            <m:t>(x)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maximální odchylka zdroje nejistoty</m:t>
              </m:r>
            </m:num>
            <m:den>
              <m:r>
                <w:rPr>
                  <w:rFonts w:ascii="Cambria Math" w:hAnsi="Cambria Math"/>
                </w:rPr>
                <m:t>koeficient rozdělení (k)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0.05 mm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=0.0289 mm</m:t>
          </m:r>
        </m:oMath>
      </m:oMathPara>
    </w:p>
    <w:p w:rsidR="00085454" w:rsidRDefault="00085454" w:rsidP="00085454">
      <w:pPr>
        <w:pStyle w:val="ListParagraph"/>
        <w:numPr>
          <w:ilvl w:val="0"/>
          <w:numId w:val="4"/>
        </w:numPr>
      </w:pPr>
      <w:r>
        <w:t>Nejistota způsobená chybou obsluhy</w:t>
      </w:r>
    </w:p>
    <w:p w:rsidR="00085454" w:rsidRDefault="00085454" w:rsidP="0008545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B,pos</m:t>
              </m:r>
              <m:r>
                <w:rPr>
                  <w:rFonts w:ascii="Cambria Math" w:hAnsi="Cambria Math"/>
                </w:rPr>
                <m:t>,2</m:t>
              </m:r>
            </m:sub>
          </m:sSub>
          <m:r>
            <w:rPr>
              <w:rFonts w:ascii="Cambria Math" w:hAnsi="Cambria Math"/>
            </w:rPr>
            <m:t>(x)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maximální odchylka zdroje nejistoty</m:t>
              </m:r>
            </m:num>
            <m:den>
              <m:r>
                <w:rPr>
                  <w:rFonts w:ascii="Cambria Math" w:hAnsi="Cambria Math"/>
                </w:rPr>
                <m:t>koeficient rozdělení (k)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 mm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=0.0</m:t>
          </m:r>
          <m:r>
            <w:rPr>
              <w:rFonts w:ascii="Cambria Math" w:hAnsi="Cambria Math"/>
            </w:rPr>
            <m:t>577</m:t>
          </m:r>
          <m:r>
            <w:rPr>
              <w:rFonts w:ascii="Cambria Math" w:hAnsi="Cambria Math"/>
            </w:rPr>
            <m:t xml:space="preserve"> mm</m:t>
          </m:r>
        </m:oMath>
      </m:oMathPara>
    </w:p>
    <w:p w:rsidR="005B022E" w:rsidRDefault="005B022E" w:rsidP="005B022E">
      <w:pPr>
        <w:pStyle w:val="ListParagraph"/>
        <w:numPr>
          <w:ilvl w:val="0"/>
          <w:numId w:val="4"/>
        </w:numPr>
      </w:pPr>
      <w:r>
        <w:t>Výsledná nejistota při měření posuvkou</w:t>
      </w:r>
    </w:p>
    <w:p w:rsidR="00824041" w:rsidRPr="008F287A" w:rsidRDefault="00824041" w:rsidP="0082404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B,pos</m:t>
              </m:r>
            </m:sub>
          </m:sSub>
          <m:r>
            <w:rPr>
              <w:rFonts w:ascii="Cambria Math" w:hAnsi="Cambria Math"/>
            </w:rPr>
            <m:t>(x)</m:t>
          </m:r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B,pos,1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B,pos,2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>=0.0645 mm</m:t>
          </m:r>
        </m:oMath>
      </m:oMathPara>
    </w:p>
    <w:p w:rsidR="00F82BF9" w:rsidRDefault="00A66588" w:rsidP="00F82BF9">
      <w:pPr>
        <w:pStyle w:val="Heading3"/>
      </w:pPr>
      <w:r>
        <w:t>5</w:t>
      </w:r>
      <w:r w:rsidR="00CF6D1C">
        <w:t>.2</w:t>
      </w:r>
      <w:r w:rsidR="00F82BF9">
        <w:t>.2. Pro měření pomocí mikrometru (u</w:t>
      </w:r>
      <w:r w:rsidR="00F82BF9">
        <w:rPr>
          <w:vertAlign w:val="subscript"/>
        </w:rPr>
        <w:t>B,mik</w:t>
      </w:r>
      <w:r w:rsidR="00F82BF9">
        <w:t>)</w:t>
      </w:r>
    </w:p>
    <w:p w:rsidR="00F82BF9" w:rsidRDefault="00F82BF9" w:rsidP="00F82BF9">
      <w:pPr>
        <w:pStyle w:val="ListParagraph"/>
        <w:numPr>
          <w:ilvl w:val="0"/>
          <w:numId w:val="4"/>
        </w:numPr>
      </w:pPr>
      <w:r>
        <w:t>Nejistota způsobená chybou měřidla</w:t>
      </w:r>
    </w:p>
    <w:p w:rsidR="00F82BF9" w:rsidRDefault="00F82BF9" w:rsidP="00F82BF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r>
                <w:rPr>
                  <w:rFonts w:ascii="Cambria Math" w:hAnsi="Cambria Math"/>
                </w:rPr>
                <m:t>mik</m:t>
              </m:r>
              <m:r>
                <w:rPr>
                  <w:rFonts w:ascii="Cambria Math" w:hAnsi="Cambria Math"/>
                </w:rPr>
                <m:t>,1</m:t>
              </m:r>
            </m:sub>
          </m:sSub>
          <m:r>
            <w:rPr>
              <w:rFonts w:ascii="Cambria Math" w:hAnsi="Cambria Math"/>
            </w:rPr>
            <m:t>(x)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maximální odchylka zdroje nejistoty</m:t>
              </m:r>
            </m:num>
            <m:den>
              <m:r>
                <w:rPr>
                  <w:rFonts w:ascii="Cambria Math" w:hAnsi="Cambria Math"/>
                </w:rPr>
                <m:t>koeficient rozdělení (k)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0.01</m:t>
              </m:r>
              <m:r>
                <w:rPr>
                  <w:rFonts w:ascii="Cambria Math" w:hAnsi="Cambria Math"/>
                </w:rPr>
                <m:t xml:space="preserve"> mm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=0.0</m:t>
          </m:r>
          <m:r>
            <w:rPr>
              <w:rFonts w:ascii="Cambria Math" w:hAnsi="Cambria Math"/>
            </w:rPr>
            <m:t>0577</m:t>
          </m:r>
          <m:r>
            <w:rPr>
              <w:rFonts w:ascii="Cambria Math" w:hAnsi="Cambria Math"/>
            </w:rPr>
            <m:t xml:space="preserve"> mm</m:t>
          </m:r>
        </m:oMath>
      </m:oMathPara>
    </w:p>
    <w:p w:rsidR="00F82BF9" w:rsidRDefault="00F82BF9" w:rsidP="00F82BF9">
      <w:pPr>
        <w:pStyle w:val="ListParagraph"/>
        <w:numPr>
          <w:ilvl w:val="0"/>
          <w:numId w:val="4"/>
        </w:numPr>
      </w:pPr>
      <w:r>
        <w:t>Nejistota způsobená chybou obsluhy</w:t>
      </w:r>
    </w:p>
    <w:p w:rsidR="00F82BF9" w:rsidRDefault="00F82BF9" w:rsidP="00F82BF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r>
                <w:rPr>
                  <w:rFonts w:ascii="Cambria Math" w:hAnsi="Cambria Math"/>
                </w:rPr>
                <m:t>mik</m:t>
              </m:r>
              <m:r>
                <w:rPr>
                  <w:rFonts w:ascii="Cambria Math" w:hAnsi="Cambria Math"/>
                </w:rPr>
                <m:t>,2</m:t>
              </m:r>
            </m:sub>
          </m:sSub>
          <m:r>
            <w:rPr>
              <w:rFonts w:ascii="Cambria Math" w:hAnsi="Cambria Math"/>
            </w:rPr>
            <m:t>(x)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maximální odchylka zdroje nejistoty</m:t>
              </m:r>
            </m:num>
            <m:den>
              <m:r>
                <w:rPr>
                  <w:rFonts w:ascii="Cambria Math" w:hAnsi="Cambria Math"/>
                </w:rPr>
                <m:t>koeficient rozdělení (k)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 mm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=0.0577 mm</m:t>
          </m:r>
        </m:oMath>
      </m:oMathPara>
    </w:p>
    <w:p w:rsidR="00F82BF9" w:rsidRDefault="00F82BF9" w:rsidP="00F82BF9">
      <w:pPr>
        <w:pStyle w:val="ListParagraph"/>
        <w:numPr>
          <w:ilvl w:val="0"/>
          <w:numId w:val="4"/>
        </w:numPr>
      </w:pPr>
      <w:r>
        <w:t xml:space="preserve">Výsledná nejistota při měření </w:t>
      </w:r>
      <w:r w:rsidR="00CF201E">
        <w:t>mikrometrem</w:t>
      </w:r>
    </w:p>
    <w:p w:rsidR="00F82BF9" w:rsidRPr="008F287A" w:rsidRDefault="00F82BF9" w:rsidP="00F82BF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r>
                <w:rPr>
                  <w:rFonts w:ascii="Cambria Math" w:hAnsi="Cambria Math"/>
                </w:rPr>
                <m:t>mik</m:t>
              </m:r>
            </m:sub>
          </m:sSub>
          <m:r>
            <w:rPr>
              <w:rFonts w:ascii="Cambria Math" w:hAnsi="Cambria Math"/>
            </w:rPr>
            <m:t>(x)</m:t>
          </m:r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B,</m:t>
                  </m:r>
                  <m:r>
                    <w:rPr>
                      <w:rFonts w:ascii="Cambria Math" w:hAnsi="Cambria Math"/>
                    </w:rPr>
                    <m:t>mik</m:t>
                  </m:r>
                  <m:r>
                    <w:rPr>
                      <w:rFonts w:ascii="Cambria Math" w:hAnsi="Cambria Math"/>
                    </w:rPr>
                    <m:t>,1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B,</m:t>
                  </m:r>
                  <m:r>
                    <w:rPr>
                      <w:rFonts w:ascii="Cambria Math" w:hAnsi="Cambria Math"/>
                    </w:rPr>
                    <m:t>mik</m:t>
                  </m:r>
                  <m:r>
                    <w:rPr>
                      <w:rFonts w:ascii="Cambria Math" w:hAnsi="Cambria Math"/>
                    </w:rPr>
                    <m:t>,2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>=0.0580</m:t>
          </m:r>
          <m:r>
            <w:rPr>
              <w:rFonts w:ascii="Cambria Math" w:hAnsi="Cambria Math"/>
            </w:rPr>
            <m:t xml:space="preserve"> mm</m:t>
          </m:r>
        </m:oMath>
      </m:oMathPara>
    </w:p>
    <w:p w:rsidR="00085454" w:rsidRDefault="00A66588" w:rsidP="00CF6D1C">
      <w:pPr>
        <w:pStyle w:val="Heading2"/>
      </w:pPr>
      <w:r>
        <w:t>5</w:t>
      </w:r>
      <w:r w:rsidR="00CF6D1C">
        <w:t xml:space="preserve">.3. </w:t>
      </w:r>
      <w:r w:rsidR="00807080">
        <w:t>Standardní k</w:t>
      </w:r>
      <w:r w:rsidR="00CF6D1C">
        <w:t>ombinovaná nejistota typu C</w:t>
      </w:r>
    </w:p>
    <w:p w:rsidR="00B646EB" w:rsidRDefault="00B646EB" w:rsidP="00B646EB">
      <w:pPr>
        <w:pStyle w:val="ListParagraph"/>
        <w:numPr>
          <w:ilvl w:val="0"/>
          <w:numId w:val="4"/>
        </w:numPr>
      </w:pPr>
      <w:r>
        <w:t>Obecně</w:t>
      </w:r>
    </w:p>
    <w:p w:rsidR="00B646EB" w:rsidRDefault="00B646EB" w:rsidP="00B646E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</m:oMath>
      </m:oMathPara>
    </w:p>
    <w:p w:rsidR="00194549" w:rsidRDefault="00194549" w:rsidP="00194549">
      <w:pPr>
        <w:pStyle w:val="ListParagraph"/>
        <w:numPr>
          <w:ilvl w:val="0"/>
          <w:numId w:val="4"/>
        </w:numPr>
      </w:pPr>
      <w:r>
        <w:t>Pro jednotlivé rozměry</w:t>
      </w:r>
    </w:p>
    <w:p w:rsidR="00194549" w:rsidRPr="006258E0" w:rsidRDefault="00A36B7F" w:rsidP="00194549">
      <w:pPr>
        <w:pStyle w:val="ListParagraph"/>
        <w:numPr>
          <w:ilvl w:val="1"/>
          <w:numId w:val="4"/>
        </w:numPr>
        <w:rPr>
          <w:rStyle w:val="MathematicaFormatStandardForm"/>
          <w:rFonts w:ascii="Calibri" w:hAnsi="Calibri" w:cs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0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.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0696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 xml:space="preserve"> mm</m:t>
        </m:r>
      </m:oMath>
    </w:p>
    <w:p w:rsidR="006258E0" w:rsidRPr="006258E0" w:rsidRDefault="006258E0" w:rsidP="00194549">
      <w:pPr>
        <w:pStyle w:val="ListParagraph"/>
        <w:numPr>
          <w:ilvl w:val="1"/>
          <w:numId w:val="4"/>
        </w:numPr>
        <w:rPr>
          <w:rStyle w:val="MathematicaFormatStandardForm"/>
          <w:rFonts w:ascii="Calibri" w:hAnsi="Calibri" w:cs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0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.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0744</m:t>
        </m:r>
        <m:r>
          <m:rPr>
            <m:sty m:val="p"/>
          </m:rPr>
          <w:rPr>
            <w:rStyle w:val="MathematicaFormatStandardForm"/>
            <w:rFonts w:ascii="Cambria Math" w:eastAsiaTheme="majorEastAsia"/>
          </w:rPr>
          <m:t xml:space="preserve"> 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mm</m:t>
        </m:r>
      </m:oMath>
    </w:p>
    <w:p w:rsidR="006258E0" w:rsidRPr="006258E0" w:rsidRDefault="006258E0" w:rsidP="00194549">
      <w:pPr>
        <w:pStyle w:val="ListParagraph"/>
        <w:numPr>
          <w:ilvl w:val="1"/>
          <w:numId w:val="4"/>
        </w:numPr>
        <w:rPr>
          <w:rStyle w:val="MathematicaFormatStandardForm"/>
          <w:rFonts w:ascii="Calibri" w:hAnsi="Calibri" w:cs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0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.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0661</m:t>
        </m:r>
        <m:r>
          <m:rPr>
            <m:sty m:val="b"/>
          </m:rPr>
          <w:rPr>
            <w:rStyle w:val="MathematicaFormatStandardForm"/>
            <w:rFonts w:ascii="Cambria Math" w:eastAsiaTheme="majorEastAsia" w:hAnsi="Cambria Math"/>
          </w:rPr>
          <m:t xml:space="preserve"> 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mm</m:t>
        </m:r>
      </m:oMath>
    </w:p>
    <w:p w:rsidR="006258E0" w:rsidRPr="006258E0" w:rsidRDefault="006258E0" w:rsidP="00194549">
      <w:pPr>
        <w:pStyle w:val="ListParagraph"/>
        <w:numPr>
          <w:ilvl w:val="1"/>
          <w:numId w:val="4"/>
        </w:numPr>
        <w:rPr>
          <w:rStyle w:val="MathematicaFormatStandardForm"/>
          <w:rFonts w:ascii="Calibri" w:hAnsi="Calibri" w:cs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0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.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0651</m:t>
        </m:r>
        <m:r>
          <m:rPr>
            <m:sty m:val="p"/>
          </m:rPr>
          <w:rPr>
            <w:rStyle w:val="MathematicaFormatStandardForm"/>
            <w:rFonts w:ascii="Cambria Math" w:eastAsiaTheme="majorEastAsia"/>
          </w:rPr>
          <m:t xml:space="preserve"> 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mm</m:t>
        </m:r>
      </m:oMath>
    </w:p>
    <w:p w:rsidR="006258E0" w:rsidRPr="00A66588" w:rsidRDefault="006258E0" w:rsidP="00194549">
      <w:pPr>
        <w:pStyle w:val="ListParagraph"/>
        <w:numPr>
          <w:ilvl w:val="1"/>
          <w:numId w:val="4"/>
        </w:numPr>
        <w:rPr>
          <w:rStyle w:val="MathematicaFormatStandardForm"/>
          <w:rFonts w:ascii="Calibri" w:hAnsi="Calibri" w:cs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0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.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>0643</m:t>
        </m:r>
        <m:r>
          <m:rPr>
            <m:sty m:val="p"/>
          </m:rPr>
          <w:rPr>
            <w:rStyle w:val="MathematicaFormatStandardForm"/>
            <w:rFonts w:ascii="Cambria Math" w:eastAsiaTheme="majorEastAsia" w:hAnsi="Cambria Math"/>
          </w:rPr>
          <m:t xml:space="preserve"> mm</m:t>
        </m:r>
      </m:oMath>
    </w:p>
    <w:p w:rsidR="00A66588" w:rsidRDefault="00A66588" w:rsidP="00A66588">
      <w:pPr>
        <w:pStyle w:val="Heading2"/>
      </w:pPr>
      <w:r>
        <w:t>5.4. Zápis nejistoty nepřímého měření</w:t>
      </w:r>
    </w:p>
    <w:p w:rsidR="005B7B64" w:rsidRPr="006A14F9" w:rsidRDefault="005B7B64" w:rsidP="005B7B64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</w:rPr>
      </w:pP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29.83±0.07</m:t>
            </m:r>
          </m:e>
        </m:d>
        <m:r>
          <w:rPr>
            <w:rFonts w:ascii="Cambria Math" w:hAnsi="Cambria Math"/>
          </w:rPr>
          <m:t xml:space="preserve"> mm,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6A14F9" w:rsidRPr="005B7B64" w:rsidRDefault="006A14F9" w:rsidP="006A14F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27.59</m:t>
            </m:r>
            <m:r>
              <w:rPr>
                <w:rFonts w:ascii="Cambria Math" w:hAnsi="Cambria Math"/>
              </w:rPr>
              <m:t>±0.07</m:t>
            </m:r>
          </m:e>
        </m:d>
        <m:r>
          <w:rPr>
            <w:rFonts w:ascii="Cambria Math" w:hAnsi="Cambria Math"/>
          </w:rPr>
          <m:t xml:space="preserve"> mm,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6A14F9" w:rsidRPr="005B7B64" w:rsidRDefault="006A14F9" w:rsidP="006A14F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11.46</m:t>
            </m:r>
            <m:r>
              <w:rPr>
                <w:rFonts w:ascii="Cambria Math" w:hAnsi="Cambria Math"/>
              </w:rPr>
              <m:t>±0.07</m:t>
            </m:r>
          </m:e>
        </m:d>
        <m:r>
          <w:rPr>
            <w:rFonts w:ascii="Cambria Math" w:hAnsi="Cambria Math"/>
          </w:rPr>
          <m:t xml:space="preserve"> mm,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6A14F9" w:rsidRPr="005B7B64" w:rsidRDefault="006A14F9" w:rsidP="006A14F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h=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32.10</m:t>
            </m:r>
            <m:r>
              <w:rPr>
                <w:rFonts w:ascii="Cambria Math" w:hAnsi="Cambria Math"/>
              </w:rPr>
              <m:t>±0.07</m:t>
            </m:r>
          </m:e>
        </m:d>
        <m:r>
          <w:rPr>
            <w:rFonts w:ascii="Cambria Math" w:hAnsi="Cambria Math"/>
          </w:rPr>
          <m:t xml:space="preserve"> mm,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6A14F9" w:rsidRDefault="006A14F9" w:rsidP="006A14F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12.95</m:t>
            </m:r>
            <m:r>
              <w:rPr>
                <w:rFonts w:ascii="Cambria Math" w:hAnsi="Cambria Math"/>
              </w:rPr>
              <m:t>±0.06</m:t>
            </m:r>
          </m:e>
        </m:d>
        <m:r>
          <w:rPr>
            <w:rFonts w:ascii="Cambria Math" w:hAnsi="Cambria Math"/>
          </w:rPr>
          <m:t xml:space="preserve"> mm,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50363A" w:rsidRDefault="0050363A" w:rsidP="0050363A">
      <w:pPr>
        <w:pStyle w:val="Heading1"/>
      </w:pPr>
      <w:r>
        <w:t>6. Nejistota nepřímého měření</w:t>
      </w:r>
    </w:p>
    <w:p w:rsidR="00A1002A" w:rsidRDefault="00866543" w:rsidP="00A1002A">
      <w:pPr>
        <w:pStyle w:val="Heading2"/>
      </w:pPr>
      <w:r>
        <w:t>6.1. Nejistota objemu hranolu</w:t>
      </w:r>
    </w:p>
    <w:p w:rsidR="00595552" w:rsidRDefault="00595552" w:rsidP="00A1002A">
      <w:pPr>
        <w:pStyle w:val="ListParagraph"/>
        <w:numPr>
          <w:ilvl w:val="0"/>
          <w:numId w:val="9"/>
        </w:numPr>
      </w:pPr>
      <w:r>
        <w:t>Objem hranolu je dán pomocí</w:t>
      </w:r>
    </w:p>
    <w:p w:rsidR="00595552" w:rsidRDefault="00595552" w:rsidP="0059555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 xml:space="preserve">=9 431.69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A1002A" w:rsidRDefault="00A1002A" w:rsidP="00A1002A">
      <w:pPr>
        <w:pStyle w:val="ListParagraph"/>
        <w:numPr>
          <w:ilvl w:val="0"/>
          <w:numId w:val="9"/>
        </w:numPr>
      </w:pPr>
      <w:r>
        <w:t>Kombinovaná standardní nejistota dána pomocí</w:t>
      </w:r>
    </w:p>
    <w:p w:rsidR="000B71CA" w:rsidRDefault="00A1002A" w:rsidP="00A1002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</m:e>
          </m:rad>
        </m:oMath>
      </m:oMathPara>
    </w:p>
    <w:p w:rsidR="000B71CA" w:rsidRDefault="009A0090" w:rsidP="000B71CA">
      <w:pPr>
        <w:ind w:firstLine="0"/>
      </w:pPr>
      <w:r>
        <w:t xml:space="preserve">kde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 jsou</w:t>
      </w:r>
      <w:r w:rsidR="00272BFC">
        <w:t xml:space="preserve"> </w:t>
      </w:r>
      <w:r>
        <w:t>koeficienty citlivosti</w:t>
      </w:r>
      <w:r w:rsidR="00272BFC">
        <w:t>.</w:t>
      </w:r>
    </w:p>
    <w:p w:rsidR="00272BFC" w:rsidRDefault="00272BFC" w:rsidP="00272BFC">
      <w:pPr>
        <w:pStyle w:val="ListParagraph"/>
        <w:numPr>
          <w:ilvl w:val="0"/>
          <w:numId w:val="9"/>
        </w:numPr>
      </w:pPr>
      <w:r>
        <w:t>Koeficienty citlivosti</w:t>
      </w:r>
    </w:p>
    <w:p w:rsidR="00272BFC" w:rsidRPr="00A21482" w:rsidRDefault="00691FCF" w:rsidP="00272BFC">
      <w:pPr>
        <w:pStyle w:val="ListParagraph"/>
        <w:numPr>
          <w:ilvl w:val="1"/>
          <w:numId w:val="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∂a</m:t>
            </m:r>
          </m:den>
        </m:f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=316.18</m:t>
        </m:r>
      </m:oMath>
    </w:p>
    <w:p w:rsidR="00A21482" w:rsidRPr="00A1002A" w:rsidRDefault="00A21482" w:rsidP="00A21482">
      <w:pPr>
        <w:pStyle w:val="ListParagraph"/>
        <w:numPr>
          <w:ilvl w:val="1"/>
          <w:numId w:val="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∂b</m:t>
            </m:r>
          </m:den>
        </m:f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341.85</m:t>
        </m:r>
      </m:oMath>
    </w:p>
    <w:p w:rsidR="00A21482" w:rsidRDefault="00A21482" w:rsidP="00A21482">
      <w:pPr>
        <w:pStyle w:val="ListParagraph"/>
        <w:numPr>
          <w:ilvl w:val="1"/>
          <w:numId w:val="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∂c</m:t>
            </m:r>
          </m:den>
        </m:f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823.01</m:t>
        </m:r>
      </m:oMath>
    </w:p>
    <w:p w:rsidR="005B16D5" w:rsidRDefault="00095FDA" w:rsidP="005B16D5">
      <w:pPr>
        <w:pStyle w:val="ListParagraph"/>
        <w:numPr>
          <w:ilvl w:val="0"/>
          <w:numId w:val="9"/>
        </w:numPr>
      </w:pPr>
      <w:r>
        <w:t>Kombinovaná standardní nejistota</w:t>
      </w:r>
    </w:p>
    <w:p w:rsidR="00095FDA" w:rsidRPr="006532E3" w:rsidRDefault="00095FDA" w:rsidP="00095FD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63.96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6532E3" w:rsidRDefault="006532E3" w:rsidP="006532E3">
      <w:pPr>
        <w:pStyle w:val="ListParagraph"/>
        <w:numPr>
          <w:ilvl w:val="0"/>
          <w:numId w:val="10"/>
        </w:numPr>
      </w:pPr>
      <w:r>
        <w:t>Výsledný objem hranolu</w:t>
      </w:r>
    </w:p>
    <w:p w:rsidR="006532E3" w:rsidRDefault="006532E3" w:rsidP="006532E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9 432</m:t>
              </m:r>
              <m: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64</m:t>
              </m:r>
            </m:e>
          </m:d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=1</m:t>
          </m:r>
        </m:oMath>
      </m:oMathPara>
    </w:p>
    <w:p w:rsidR="001652D4" w:rsidRDefault="001652D4" w:rsidP="001652D4">
      <w:pPr>
        <w:pStyle w:val="Heading2"/>
      </w:pPr>
      <w:r>
        <w:t>6.2 Nejistota objemu válce</w:t>
      </w:r>
    </w:p>
    <w:p w:rsidR="00EE3B9E" w:rsidRDefault="00EE3B9E" w:rsidP="00EE3B9E">
      <w:pPr>
        <w:pStyle w:val="ListParagraph"/>
        <w:numPr>
          <w:ilvl w:val="0"/>
          <w:numId w:val="9"/>
        </w:numPr>
      </w:pPr>
      <w:r>
        <w:t>Objem válce je dán pomocí</w:t>
      </w:r>
    </w:p>
    <w:p w:rsidR="00EE3B9E" w:rsidRDefault="00EE3B9E" w:rsidP="00EE3B9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h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4 228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EE3B9E" w:rsidRDefault="00EE3B9E" w:rsidP="00EE3B9E">
      <w:pPr>
        <w:pStyle w:val="ListParagraph"/>
        <w:numPr>
          <w:ilvl w:val="0"/>
          <w:numId w:val="9"/>
        </w:numPr>
      </w:pPr>
      <w:r>
        <w:lastRenderedPageBreak/>
        <w:t>Kombinovaná standardní nejistota dána pomocí</w:t>
      </w:r>
    </w:p>
    <w:p w:rsidR="00EE3B9E" w:rsidRDefault="00EE3B9E" w:rsidP="00EE3B9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d>
            </m:e>
          </m:rad>
        </m:oMath>
      </m:oMathPara>
    </w:p>
    <w:p w:rsidR="00EE3B9E" w:rsidRDefault="00EE3B9E" w:rsidP="00EE3B9E">
      <w:pPr>
        <w:ind w:firstLine="0"/>
      </w:pPr>
      <w:r>
        <w:t xml:space="preserve">kde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t xml:space="preserve"> jsou koeficienty citlivosti.</w:t>
      </w:r>
    </w:p>
    <w:p w:rsidR="00EE3B9E" w:rsidRDefault="00EE3B9E" w:rsidP="00EE3B9E">
      <w:pPr>
        <w:pStyle w:val="ListParagraph"/>
        <w:numPr>
          <w:ilvl w:val="0"/>
          <w:numId w:val="9"/>
        </w:numPr>
      </w:pPr>
      <w:r>
        <w:t>Koeficienty citlivosti</w:t>
      </w:r>
    </w:p>
    <w:p w:rsidR="00EE3B9E" w:rsidRPr="00A21482" w:rsidRDefault="00EE3B9E" w:rsidP="00EE3B9E">
      <w:pPr>
        <w:pStyle w:val="ListParagraph"/>
        <w:numPr>
          <w:ilvl w:val="1"/>
          <w:numId w:val="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131.71</m:t>
        </m:r>
      </m:oMath>
    </w:p>
    <w:p w:rsidR="00EE3B9E" w:rsidRPr="00A1002A" w:rsidRDefault="00EE3B9E" w:rsidP="00EE3B9E">
      <w:pPr>
        <w:pStyle w:val="ListParagraph"/>
        <w:numPr>
          <w:ilvl w:val="1"/>
          <w:numId w:val="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652.97</m:t>
        </m:r>
      </m:oMath>
    </w:p>
    <w:p w:rsidR="00EE3B9E" w:rsidRDefault="00EE3B9E" w:rsidP="00EE3B9E">
      <w:pPr>
        <w:pStyle w:val="ListParagraph"/>
        <w:numPr>
          <w:ilvl w:val="0"/>
          <w:numId w:val="9"/>
        </w:numPr>
      </w:pPr>
      <w:r>
        <w:t>Kombinovaná standardní nejistota</w:t>
      </w:r>
    </w:p>
    <w:p w:rsidR="00EE3B9E" w:rsidRPr="006532E3" w:rsidRDefault="00EE3B9E" w:rsidP="00EE3B9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42.85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EE3B9E" w:rsidRDefault="00EE3B9E" w:rsidP="00EE3B9E">
      <w:pPr>
        <w:pStyle w:val="ListParagraph"/>
        <w:numPr>
          <w:ilvl w:val="0"/>
          <w:numId w:val="10"/>
        </w:numPr>
      </w:pPr>
      <w:r>
        <w:t xml:space="preserve">Výsledný objem </w:t>
      </w:r>
      <w:r w:rsidR="00E96FAB">
        <w:t>válce</w:t>
      </w:r>
    </w:p>
    <w:p w:rsidR="00EE3B9E" w:rsidRDefault="00EE3B9E" w:rsidP="00EE3B9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4 228</m:t>
              </m:r>
              <m: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43</m:t>
              </m:r>
            </m:e>
          </m:d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=1</m:t>
          </m:r>
        </m:oMath>
      </m:oMathPara>
    </w:p>
    <w:p w:rsidR="00EE3B9E" w:rsidRDefault="002C01F9" w:rsidP="002C01F9">
      <w:pPr>
        <w:pStyle w:val="Heading1"/>
      </w:pPr>
      <w:r>
        <w:t>7. Rekapitulace výsledků</w:t>
      </w:r>
    </w:p>
    <w:p w:rsidR="00E1235C" w:rsidRDefault="00E1235C" w:rsidP="00E1235C">
      <w:pPr>
        <w:pStyle w:val="Heading2"/>
      </w:pPr>
      <w:r>
        <w:t>7.1. Hranol</w:t>
      </w:r>
    </w:p>
    <w:p w:rsidR="003B196F" w:rsidRPr="006A14F9" w:rsidRDefault="00A21ADF" w:rsidP="003B196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</w:t>
      </w:r>
      <w:r w:rsidR="00815F07">
        <w:rPr>
          <w:rFonts w:asciiTheme="majorHAnsi" w:eastAsiaTheme="majorEastAsia" w:hAnsiTheme="majorHAnsi" w:cstheme="majorBidi"/>
        </w:rPr>
        <w:t xml:space="preserve">trana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29.83±0.07</m:t>
            </m:r>
          </m:e>
        </m:d>
        <m:r>
          <w:rPr>
            <w:rFonts w:ascii="Cambria Math" w:hAnsi="Cambria Math"/>
          </w:rPr>
          <m:t xml:space="preserve"> mm,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3B196F" w:rsidRPr="005B7B64" w:rsidRDefault="00A21ADF" w:rsidP="003B196F">
      <w:pPr>
        <w:pStyle w:val="ListParagraph"/>
        <w:numPr>
          <w:ilvl w:val="0"/>
          <w:numId w:val="4"/>
        </w:numPr>
      </w:pPr>
      <w:r>
        <w:rPr>
          <w:rFonts w:asciiTheme="majorHAnsi" w:eastAsiaTheme="majorEastAsia" w:hAnsiTheme="majorHAnsi" w:cstheme="majorBidi"/>
        </w:rPr>
        <w:t>S</w:t>
      </w:r>
      <w:r w:rsidR="00815F07">
        <w:rPr>
          <w:rFonts w:asciiTheme="majorHAnsi" w:eastAsiaTheme="majorEastAsia" w:hAnsiTheme="majorHAnsi" w:cstheme="majorBidi"/>
        </w:rPr>
        <w:t xml:space="preserve">trana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27.59±0.07</m:t>
            </m:r>
          </m:e>
        </m:d>
        <m:r>
          <w:rPr>
            <w:rFonts w:ascii="Cambria Math" w:hAnsi="Cambria Math"/>
          </w:rPr>
          <m:t xml:space="preserve"> mm,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3B196F" w:rsidRDefault="00A21ADF" w:rsidP="003B196F">
      <w:pPr>
        <w:pStyle w:val="ListParagraph"/>
        <w:numPr>
          <w:ilvl w:val="0"/>
          <w:numId w:val="4"/>
        </w:numPr>
      </w:pPr>
      <w:r>
        <w:t>S</w:t>
      </w:r>
      <w:r w:rsidR="00815F07">
        <w:t xml:space="preserve">trana </w:t>
      </w:r>
      <m:oMath>
        <m: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11.46±0.07</m:t>
            </m:r>
          </m:e>
        </m:d>
        <m:r>
          <w:rPr>
            <w:rFonts w:ascii="Cambria Math" w:hAnsi="Cambria Math"/>
          </w:rPr>
          <m:t xml:space="preserve"> mm,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3B196F" w:rsidRDefault="00A21ADF" w:rsidP="003B196F">
      <w:pPr>
        <w:pStyle w:val="ListParagraph"/>
        <w:numPr>
          <w:ilvl w:val="0"/>
          <w:numId w:val="4"/>
        </w:numPr>
      </w:pPr>
      <w:r>
        <w:t>O</w:t>
      </w:r>
      <w:r w:rsidR="00815F07">
        <w:t xml:space="preserve">bjem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9 432±64</m:t>
            </m:r>
          </m:e>
        </m: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525AF2" w:rsidRPr="005B7B64" w:rsidRDefault="00525AF2" w:rsidP="00525AF2">
      <w:pPr>
        <w:pStyle w:val="Heading2"/>
      </w:pPr>
      <w:r>
        <w:t>7.2. Válec</w:t>
      </w:r>
    </w:p>
    <w:p w:rsidR="003D7206" w:rsidRPr="005B7B64" w:rsidRDefault="003D7206" w:rsidP="003D7206">
      <w:pPr>
        <w:pStyle w:val="ListParagraph"/>
        <w:numPr>
          <w:ilvl w:val="0"/>
          <w:numId w:val="4"/>
        </w:numPr>
      </w:pPr>
      <w:r>
        <w:rPr>
          <w:rFonts w:asciiTheme="majorHAnsi" w:eastAsiaTheme="majorEastAsia" w:hAnsiTheme="majorHAnsi" w:cstheme="majorBidi"/>
        </w:rPr>
        <w:t xml:space="preserve">Výška </w:t>
      </w:r>
      <m:oMath>
        <m:r>
          <w:rPr>
            <w:rFonts w:ascii="Cambria Math" w:hAnsi="Cambria Math"/>
          </w:rPr>
          <m:t>h=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32.10±0.07</m:t>
            </m:r>
          </m:e>
        </m:d>
        <m:r>
          <w:rPr>
            <w:rFonts w:ascii="Cambria Math" w:hAnsi="Cambria Math"/>
          </w:rPr>
          <m:t xml:space="preserve"> mm,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3D7206" w:rsidRDefault="003D7206" w:rsidP="003D7206">
      <w:pPr>
        <w:pStyle w:val="ListParagraph"/>
        <w:numPr>
          <w:ilvl w:val="0"/>
          <w:numId w:val="4"/>
        </w:numPr>
      </w:pPr>
      <w:r>
        <w:t xml:space="preserve">Průměr </w:t>
      </w:r>
      <m:oMath>
        <m: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12.95±0.06</m:t>
            </m:r>
          </m:e>
        </m:d>
        <m:r>
          <w:rPr>
            <w:rFonts w:ascii="Cambria Math" w:hAnsi="Cambria Math"/>
          </w:rPr>
          <m:t xml:space="preserve"> mm,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FA39B1" w:rsidRDefault="00FA39B1" w:rsidP="00FA39B1">
      <w:pPr>
        <w:pStyle w:val="ListParagraph"/>
        <w:numPr>
          <w:ilvl w:val="0"/>
          <w:numId w:val="4"/>
        </w:numPr>
      </w:pPr>
      <w:r>
        <w:t xml:space="preserve">Objem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4 228±43</m:t>
            </m:r>
          </m:e>
        </m:d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</w:p>
    <w:p w:rsidR="003B196F" w:rsidRDefault="00936BC1" w:rsidP="00936BC1">
      <w:pPr>
        <w:pStyle w:val="Heading1"/>
      </w:pPr>
      <w:r>
        <w:t>8. Závěr</w:t>
      </w:r>
    </w:p>
    <w:p w:rsidR="0022094E" w:rsidRDefault="0022094E" w:rsidP="0022094E">
      <w:pPr>
        <w:ind w:left="0" w:firstLine="720"/>
      </w:pPr>
      <w:r>
        <w:t>A co říci závěrem? Všechno mi to nějak moc hezky vyšlo, až se mi skoro nechce věřit, že to mám správně.</w:t>
      </w:r>
      <w:r w:rsidR="005E7F92">
        <w:t xml:space="preserve"> Moc se mi líbí, že jsme ve výpočtu zohlednili integrovanou chybu obsluhy. V minulém semestru na předmětu Elektrická měření jsme ji d</w:t>
      </w:r>
      <w:r w:rsidR="00A6573C">
        <w:t xml:space="preserve">o výsledku nezahrnovali a to </w:t>
      </w:r>
      <w:r w:rsidR="005E7F92">
        <w:t xml:space="preserve">myslím </w:t>
      </w:r>
      <w:r w:rsidR="00A6573C">
        <w:t>není dobře, protože největší nepřesnosti vznikají, když se člověk dívá na tu ručičku, kolik asi ukazuje</w:t>
      </w:r>
      <w:r w:rsidR="005E7F92">
        <w:t>.</w:t>
      </w:r>
      <w:r w:rsidR="00A6573C">
        <w:t xml:space="preserve"> K tomuto ještě stojí za zmínku ten fakt, že i přes lepší měřicí vlastnosti mikrometru není jeho nejistota typ</w:t>
      </w:r>
      <w:r w:rsidR="00D851F7">
        <w:t>u B výrazně lepší než u posuvky, právě z důvodu výše uvedeného.</w:t>
      </w:r>
    </w:p>
    <w:p w:rsidR="007118CE" w:rsidRDefault="007118CE" w:rsidP="007118CE">
      <w:pPr>
        <w:ind w:left="0" w:firstLine="0"/>
      </w:pPr>
    </w:p>
    <w:p w:rsidR="007118CE" w:rsidRDefault="007118CE" w:rsidP="007118CE">
      <w:pPr>
        <w:ind w:left="0" w:firstLine="0"/>
      </w:pPr>
    </w:p>
    <w:p w:rsidR="007118CE" w:rsidRDefault="007118CE" w:rsidP="007118CE">
      <w:pPr>
        <w:ind w:left="0" w:firstLine="0"/>
      </w:pPr>
    </w:p>
    <w:p w:rsidR="007118CE" w:rsidRDefault="007118CE" w:rsidP="007118CE">
      <w:pPr>
        <w:ind w:left="0" w:firstLine="0"/>
      </w:pPr>
    </w:p>
    <w:p w:rsidR="007118CE" w:rsidRDefault="007118CE" w:rsidP="007118CE">
      <w:pPr>
        <w:ind w:left="0" w:firstLine="0"/>
      </w:pPr>
    </w:p>
    <w:p w:rsidR="007118CE" w:rsidRDefault="007118CE" w:rsidP="007118CE">
      <w:pPr>
        <w:ind w:left="0" w:firstLine="0"/>
      </w:pPr>
    </w:p>
    <w:p w:rsidR="007118CE" w:rsidRDefault="007118CE" w:rsidP="007118CE">
      <w:pPr>
        <w:ind w:left="0" w:firstLine="0"/>
      </w:pPr>
    </w:p>
    <w:p w:rsidR="007118CE" w:rsidRDefault="007118CE" w:rsidP="007118CE">
      <w:pPr>
        <w:ind w:left="0" w:firstLine="0"/>
      </w:pPr>
    </w:p>
    <w:p w:rsidR="007118CE" w:rsidRDefault="007118CE" w:rsidP="007118CE">
      <w:r>
        <w:t>Zpracoval: Martin Mego</w:t>
      </w:r>
    </w:p>
    <w:p w:rsidR="007118CE" w:rsidRPr="0022094E" w:rsidRDefault="007118CE" w:rsidP="007118CE">
      <w:r>
        <w:t>Dne: 10.10.2010</w:t>
      </w:r>
    </w:p>
    <w:sectPr w:rsidR="007118CE" w:rsidRPr="0022094E" w:rsidSect="00644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356"/>
    <w:multiLevelType w:val="hybridMultilevel"/>
    <w:tmpl w:val="545A77B8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358D"/>
    <w:multiLevelType w:val="hybridMultilevel"/>
    <w:tmpl w:val="45927144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6F28"/>
    <w:multiLevelType w:val="hybridMultilevel"/>
    <w:tmpl w:val="A7B8C420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6360"/>
    <w:multiLevelType w:val="hybridMultilevel"/>
    <w:tmpl w:val="459C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13FE"/>
    <w:multiLevelType w:val="hybridMultilevel"/>
    <w:tmpl w:val="311433EE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A03A1"/>
    <w:multiLevelType w:val="hybridMultilevel"/>
    <w:tmpl w:val="87EE4F42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117D4"/>
    <w:multiLevelType w:val="hybridMultilevel"/>
    <w:tmpl w:val="8494CA84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20B20"/>
    <w:multiLevelType w:val="hybridMultilevel"/>
    <w:tmpl w:val="5A56065E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E7B92"/>
    <w:multiLevelType w:val="hybridMultilevel"/>
    <w:tmpl w:val="5E68441E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63ABA"/>
    <w:multiLevelType w:val="hybridMultilevel"/>
    <w:tmpl w:val="CCD6BEEC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526D"/>
    <w:rsid w:val="00085454"/>
    <w:rsid w:val="00094E62"/>
    <w:rsid w:val="00095FDA"/>
    <w:rsid w:val="000B71CA"/>
    <w:rsid w:val="000D1365"/>
    <w:rsid w:val="000E0A38"/>
    <w:rsid w:val="000F615A"/>
    <w:rsid w:val="00103A89"/>
    <w:rsid w:val="001431EA"/>
    <w:rsid w:val="001652D4"/>
    <w:rsid w:val="00194549"/>
    <w:rsid w:val="001D04DE"/>
    <w:rsid w:val="001F5650"/>
    <w:rsid w:val="0020145E"/>
    <w:rsid w:val="0022094E"/>
    <w:rsid w:val="00223225"/>
    <w:rsid w:val="002272FE"/>
    <w:rsid w:val="00231433"/>
    <w:rsid w:val="00236B5A"/>
    <w:rsid w:val="00250434"/>
    <w:rsid w:val="00272BFC"/>
    <w:rsid w:val="002B2036"/>
    <w:rsid w:val="002C01F9"/>
    <w:rsid w:val="00304600"/>
    <w:rsid w:val="003249FC"/>
    <w:rsid w:val="00331353"/>
    <w:rsid w:val="00387A66"/>
    <w:rsid w:val="00390E58"/>
    <w:rsid w:val="003B196F"/>
    <w:rsid w:val="003C6D63"/>
    <w:rsid w:val="003D692B"/>
    <w:rsid w:val="003D7206"/>
    <w:rsid w:val="003E70B8"/>
    <w:rsid w:val="003F7880"/>
    <w:rsid w:val="00421196"/>
    <w:rsid w:val="00430EAE"/>
    <w:rsid w:val="00441135"/>
    <w:rsid w:val="00485E64"/>
    <w:rsid w:val="004A034C"/>
    <w:rsid w:val="004D5550"/>
    <w:rsid w:val="004F21C1"/>
    <w:rsid w:val="004F377E"/>
    <w:rsid w:val="0050363A"/>
    <w:rsid w:val="005056DA"/>
    <w:rsid w:val="00525AF2"/>
    <w:rsid w:val="00526547"/>
    <w:rsid w:val="005720AC"/>
    <w:rsid w:val="0057255C"/>
    <w:rsid w:val="00572D57"/>
    <w:rsid w:val="00595552"/>
    <w:rsid w:val="005B022E"/>
    <w:rsid w:val="005B16D5"/>
    <w:rsid w:val="005B7B64"/>
    <w:rsid w:val="005C53D2"/>
    <w:rsid w:val="005E7F92"/>
    <w:rsid w:val="005F06EA"/>
    <w:rsid w:val="00613790"/>
    <w:rsid w:val="00623570"/>
    <w:rsid w:val="006258E0"/>
    <w:rsid w:val="00632C60"/>
    <w:rsid w:val="00644DC6"/>
    <w:rsid w:val="006532E3"/>
    <w:rsid w:val="00662EDD"/>
    <w:rsid w:val="006666D4"/>
    <w:rsid w:val="00691FCF"/>
    <w:rsid w:val="006A14F9"/>
    <w:rsid w:val="006A6CB1"/>
    <w:rsid w:val="007118CE"/>
    <w:rsid w:val="007623C9"/>
    <w:rsid w:val="00782FE0"/>
    <w:rsid w:val="00784F53"/>
    <w:rsid w:val="007A2CAE"/>
    <w:rsid w:val="007C147F"/>
    <w:rsid w:val="007F3E67"/>
    <w:rsid w:val="00805A8C"/>
    <w:rsid w:val="00807080"/>
    <w:rsid w:val="00815F07"/>
    <w:rsid w:val="00824041"/>
    <w:rsid w:val="00835C36"/>
    <w:rsid w:val="00841132"/>
    <w:rsid w:val="008412E7"/>
    <w:rsid w:val="00866543"/>
    <w:rsid w:val="00891079"/>
    <w:rsid w:val="00891DD1"/>
    <w:rsid w:val="008930B5"/>
    <w:rsid w:val="008F287A"/>
    <w:rsid w:val="008F5416"/>
    <w:rsid w:val="00910EE8"/>
    <w:rsid w:val="0091191C"/>
    <w:rsid w:val="00936BC1"/>
    <w:rsid w:val="00960BE9"/>
    <w:rsid w:val="009A0090"/>
    <w:rsid w:val="009A3C39"/>
    <w:rsid w:val="009B066A"/>
    <w:rsid w:val="009F37B2"/>
    <w:rsid w:val="00A1002A"/>
    <w:rsid w:val="00A21482"/>
    <w:rsid w:val="00A21ADF"/>
    <w:rsid w:val="00A36B7F"/>
    <w:rsid w:val="00A6573C"/>
    <w:rsid w:val="00A66588"/>
    <w:rsid w:val="00AA21FB"/>
    <w:rsid w:val="00AA2BBB"/>
    <w:rsid w:val="00AF04CA"/>
    <w:rsid w:val="00B57942"/>
    <w:rsid w:val="00B6026B"/>
    <w:rsid w:val="00B6145A"/>
    <w:rsid w:val="00B64518"/>
    <w:rsid w:val="00B646EB"/>
    <w:rsid w:val="00B6526D"/>
    <w:rsid w:val="00B729B9"/>
    <w:rsid w:val="00B83B12"/>
    <w:rsid w:val="00BA7B0A"/>
    <w:rsid w:val="00BB2AB5"/>
    <w:rsid w:val="00BC61C9"/>
    <w:rsid w:val="00C047BD"/>
    <w:rsid w:val="00CA5389"/>
    <w:rsid w:val="00CE5048"/>
    <w:rsid w:val="00CF094C"/>
    <w:rsid w:val="00CF102C"/>
    <w:rsid w:val="00CF201E"/>
    <w:rsid w:val="00CF305F"/>
    <w:rsid w:val="00CF6D1C"/>
    <w:rsid w:val="00D14930"/>
    <w:rsid w:val="00D64023"/>
    <w:rsid w:val="00D851F7"/>
    <w:rsid w:val="00D9312C"/>
    <w:rsid w:val="00DD68A2"/>
    <w:rsid w:val="00E1235C"/>
    <w:rsid w:val="00E40F5C"/>
    <w:rsid w:val="00E4225C"/>
    <w:rsid w:val="00E52E6B"/>
    <w:rsid w:val="00E56E07"/>
    <w:rsid w:val="00E6084A"/>
    <w:rsid w:val="00E72A78"/>
    <w:rsid w:val="00E96FAB"/>
    <w:rsid w:val="00EA091F"/>
    <w:rsid w:val="00EA49A7"/>
    <w:rsid w:val="00EC2473"/>
    <w:rsid w:val="00EC63FA"/>
    <w:rsid w:val="00ED2788"/>
    <w:rsid w:val="00EE3B9E"/>
    <w:rsid w:val="00F0149E"/>
    <w:rsid w:val="00F468A5"/>
    <w:rsid w:val="00F82BF9"/>
    <w:rsid w:val="00FA0958"/>
    <w:rsid w:val="00FA39B1"/>
    <w:rsid w:val="00FA523B"/>
    <w:rsid w:val="00FC7591"/>
    <w:rsid w:val="00FE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E7"/>
    <w:rPr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84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1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1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1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1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84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841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Heading4Char">
    <w:name w:val="Heading 4 Char"/>
    <w:basedOn w:val="DefaultParagraphFont"/>
    <w:link w:val="Heading4"/>
    <w:semiHidden/>
    <w:rsid w:val="00841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semiHidden/>
    <w:rsid w:val="008412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Heading6Char">
    <w:name w:val="Heading 6 Char"/>
    <w:basedOn w:val="DefaultParagraphFont"/>
    <w:link w:val="Heading6"/>
    <w:semiHidden/>
    <w:rsid w:val="008412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Heading7Char">
    <w:name w:val="Heading 7 Char"/>
    <w:basedOn w:val="DefaultParagraphFont"/>
    <w:link w:val="Heading7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semiHidden/>
    <w:rsid w:val="008412E7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Caption">
    <w:name w:val="caption"/>
    <w:basedOn w:val="Normal"/>
    <w:next w:val="Normal"/>
    <w:semiHidden/>
    <w:unhideWhenUsed/>
    <w:qFormat/>
    <w:rsid w:val="008412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41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Subtitle">
    <w:name w:val="Subtitle"/>
    <w:basedOn w:val="Normal"/>
    <w:next w:val="Normal"/>
    <w:link w:val="SubtitleChar"/>
    <w:qFormat/>
    <w:rsid w:val="008412E7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trong">
    <w:name w:val="Strong"/>
    <w:basedOn w:val="DefaultParagraphFont"/>
    <w:qFormat/>
    <w:rsid w:val="008412E7"/>
    <w:rPr>
      <w:b/>
      <w:bCs/>
    </w:rPr>
  </w:style>
  <w:style w:type="character" w:styleId="Emphasis">
    <w:name w:val="Emphasis"/>
    <w:basedOn w:val="DefaultParagraphFont"/>
    <w:qFormat/>
    <w:rsid w:val="008412E7"/>
    <w:rPr>
      <w:i/>
      <w:iCs/>
    </w:rPr>
  </w:style>
  <w:style w:type="paragraph" w:styleId="NoSpacing">
    <w:name w:val="No Spacing"/>
    <w:link w:val="NoSpacingChar"/>
    <w:uiPriority w:val="1"/>
    <w:qFormat/>
    <w:rsid w:val="008412E7"/>
    <w:rPr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8412E7"/>
    <w:rPr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841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12E7"/>
    <w:rPr>
      <w:i/>
      <w:iCs/>
      <w:color w:val="000000" w:themeColor="text1"/>
      <w:sz w:val="24"/>
      <w:szCs w:val="24"/>
      <w:lang w:val="cs-CZ" w:eastAsia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2E7"/>
    <w:rPr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SubtleEmphasis">
    <w:name w:val="Subtle Emphasis"/>
    <w:basedOn w:val="DefaultParagraphFont"/>
    <w:uiPriority w:val="19"/>
    <w:qFormat/>
    <w:rsid w:val="008412E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12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12E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12E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1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2E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F5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50"/>
    <w:rPr>
      <w:rFonts w:ascii="Tahoma" w:hAnsi="Tahoma" w:cs="Tahoma"/>
      <w:sz w:val="16"/>
      <w:szCs w:val="16"/>
      <w:lang w:val="cs-CZ" w:eastAsia="cs-CZ"/>
    </w:rPr>
  </w:style>
  <w:style w:type="character" w:customStyle="1" w:styleId="MathematicaFormatStandardForm">
    <w:name w:val="MathematicaFormatStandardForm"/>
    <w:uiPriority w:val="99"/>
    <w:rsid w:val="00E6084A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Mego</dc:creator>
  <cp:keywords/>
  <dc:description/>
  <cp:lastModifiedBy>Martin Mego</cp:lastModifiedBy>
  <cp:revision>138</cp:revision>
  <dcterms:created xsi:type="dcterms:W3CDTF">2010-01-10T22:25:00Z</dcterms:created>
  <dcterms:modified xsi:type="dcterms:W3CDTF">2010-01-11T23:47:00Z</dcterms:modified>
</cp:coreProperties>
</file>