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6" w:rsidRDefault="00BE2506" w:rsidP="005E12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E2506" w:rsidTr="00BE250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LABORATORNÍ CVIČENÍ Z 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MVE</w:t>
            </w:r>
          </w:p>
        </w:tc>
      </w:tr>
      <w:tr w:rsidR="00BE2506" w:rsidTr="00BE2506"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ŠTĚPÁN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KOHOUT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měření</w:t>
            </w:r>
            <w:r w:rsidR="00320888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2010</w:t>
            </w: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Stud.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2010/11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odevzdání</w:t>
            </w:r>
            <w:r w:rsidR="00320888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10. 2010</w:t>
            </w: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Stud.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skupina</w:t>
            </w:r>
            <w:proofErr w:type="gramEnd"/>
            <w:r w:rsidR="00833FBC">
              <w:rPr>
                <w:rFonts w:ascii="Times New Roman" w:hAnsi="Times New Roman" w:cs="Times New Roman"/>
                <w:sz w:val="24"/>
                <w:szCs w:val="24"/>
              </w:rPr>
              <w:t xml:space="preserve"> 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skupina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Klasifikace</w:t>
            </w:r>
          </w:p>
        </w:tc>
      </w:tr>
      <w:tr w:rsidR="00BE2506" w:rsidTr="00BE250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506" w:rsidRDefault="00BE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Číslo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úlohy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32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Název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úlohy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888">
              <w:rPr>
                <w:rFonts w:ascii="Times New Roman" w:hAnsi="Times New Roman" w:cs="Times New Roman"/>
                <w:sz w:val="24"/>
                <w:szCs w:val="24"/>
              </w:rPr>
              <w:t>DIELEKTRICKÉ</w:t>
            </w:r>
            <w:proofErr w:type="gramEnd"/>
            <w:r w:rsidR="00320888">
              <w:rPr>
                <w:rFonts w:ascii="Times New Roman" w:hAnsi="Times New Roman" w:cs="Times New Roman"/>
                <w:sz w:val="24"/>
                <w:szCs w:val="24"/>
              </w:rPr>
              <w:t xml:space="preserve"> VLAST. TUHÝCH LÁTEK</w:t>
            </w:r>
          </w:p>
        </w:tc>
      </w:tr>
    </w:tbl>
    <w:p w:rsidR="00BE2506" w:rsidRDefault="00BE2506" w:rsidP="00BE25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E2506" w:rsidRDefault="00BE25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314E" w:rsidRPr="00624C92" w:rsidRDefault="00320888" w:rsidP="005E12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Dielektrické vlastnosti tuhých látek</w:t>
      </w:r>
    </w:p>
    <w:p w:rsidR="00BA360E" w:rsidRDefault="005E12B7" w:rsidP="005E1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C92">
        <w:rPr>
          <w:rFonts w:ascii="Times New Roman" w:hAnsi="Times New Roman" w:cs="Times New Roman"/>
          <w:sz w:val="24"/>
          <w:szCs w:val="24"/>
          <w:u w:val="single"/>
        </w:rPr>
        <w:t>Úkol měření:</w:t>
      </w:r>
    </w:p>
    <w:p w:rsidR="00320888" w:rsidRDefault="00320888" w:rsidP="0032088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88">
        <w:rPr>
          <w:rFonts w:ascii="Times New Roman" w:hAnsi="Times New Roman" w:cs="Times New Roman"/>
          <w:sz w:val="24"/>
          <w:szCs w:val="24"/>
        </w:rPr>
        <w:t xml:space="preserve">Změřte kapacitu </w:t>
      </w:r>
      <w:proofErr w:type="spellStart"/>
      <w:r w:rsidRPr="00320888">
        <w:rPr>
          <w:rFonts w:ascii="Times New Roman" w:hAnsi="Times New Roman" w:cs="Times New Roman"/>
          <w:sz w:val="24"/>
          <w:szCs w:val="24"/>
        </w:rPr>
        <w:t>C</w:t>
      </w:r>
      <w:r w:rsidRPr="0032088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320888">
        <w:rPr>
          <w:rFonts w:ascii="Times New Roman" w:hAnsi="Times New Roman" w:cs="Times New Roman"/>
          <w:sz w:val="24"/>
          <w:szCs w:val="24"/>
        </w:rPr>
        <w:t xml:space="preserve"> a ztrátový činitel </w:t>
      </w:r>
      <w:proofErr w:type="gramStart"/>
      <w:r w:rsidRPr="00320888">
        <w:rPr>
          <w:rFonts w:ascii="Times New Roman" w:hAnsi="Times New Roman" w:cs="Times New Roman"/>
          <w:sz w:val="24"/>
          <w:szCs w:val="24"/>
        </w:rPr>
        <w:t>tg(d)=D připraveného</w:t>
      </w:r>
      <w:proofErr w:type="gramEnd"/>
      <w:r w:rsidRPr="00320888">
        <w:rPr>
          <w:rFonts w:ascii="Times New Roman" w:hAnsi="Times New Roman" w:cs="Times New Roman"/>
          <w:sz w:val="24"/>
          <w:szCs w:val="24"/>
        </w:rPr>
        <w:t xml:space="preserve"> souboru vzorků tuhých materiálů. Vypočítejte jejich relativní permitivitu </w:t>
      </w:r>
      <w:proofErr w:type="spellStart"/>
      <w:r w:rsidRPr="00320888">
        <w:rPr>
          <w:rFonts w:ascii="Times New Roman" w:hAnsi="Times New Roman" w:cs="Times New Roman"/>
          <w:sz w:val="24"/>
          <w:szCs w:val="24"/>
        </w:rPr>
        <w:t>ε</w:t>
      </w:r>
      <w:r w:rsidRPr="0032088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320888">
        <w:rPr>
          <w:rFonts w:ascii="Times New Roman" w:hAnsi="Times New Roman" w:cs="Times New Roman"/>
          <w:sz w:val="24"/>
          <w:szCs w:val="24"/>
        </w:rPr>
        <w:t xml:space="preserve"> a spolu s D je seřaďte do tabulky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88">
        <w:rPr>
          <w:rFonts w:ascii="Times New Roman" w:hAnsi="Times New Roman" w:cs="Times New Roman"/>
          <w:sz w:val="24"/>
          <w:szCs w:val="24"/>
        </w:rPr>
        <w:t xml:space="preserve">podle velikosti </w:t>
      </w:r>
      <w:proofErr w:type="spellStart"/>
      <w:r w:rsidRPr="00320888">
        <w:rPr>
          <w:rFonts w:ascii="Times New Roman" w:hAnsi="Times New Roman" w:cs="Times New Roman"/>
          <w:sz w:val="24"/>
          <w:szCs w:val="24"/>
        </w:rPr>
        <w:t>ε</w:t>
      </w:r>
      <w:r w:rsidRPr="0032088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320888">
        <w:rPr>
          <w:rFonts w:ascii="Times New Roman" w:hAnsi="Times New Roman" w:cs="Times New Roman"/>
          <w:sz w:val="24"/>
          <w:szCs w:val="24"/>
        </w:rPr>
        <w:t>.</w:t>
      </w:r>
    </w:p>
    <w:p w:rsidR="00320888" w:rsidRPr="00320888" w:rsidRDefault="00320888" w:rsidP="0032088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320888">
        <w:rPr>
          <w:rFonts w:ascii="Times New Roman" w:hAnsi="Times New Roman" w:cs="Times New Roman"/>
          <w:sz w:val="24"/>
          <w:szCs w:val="24"/>
        </w:rPr>
        <w:t xml:space="preserve">Změřte teplotní závislosti </w:t>
      </w:r>
      <w:proofErr w:type="spellStart"/>
      <w:r w:rsidRPr="00320888">
        <w:rPr>
          <w:rFonts w:ascii="Times New Roman" w:hAnsi="Times New Roman" w:cs="Times New Roman"/>
          <w:sz w:val="24"/>
          <w:szCs w:val="24"/>
        </w:rPr>
        <w:t>ε</w:t>
      </w:r>
      <w:r w:rsidRPr="0032088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32088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320888">
        <w:rPr>
          <w:rFonts w:ascii="Times New Roman" w:hAnsi="Times New Roman" w:cs="Times New Roman"/>
          <w:sz w:val="24"/>
          <w:szCs w:val="24"/>
        </w:rPr>
        <w:t>tg(d)=D elektricky</w:t>
      </w:r>
      <w:proofErr w:type="gramEnd"/>
      <w:r w:rsidRPr="00320888">
        <w:rPr>
          <w:rFonts w:ascii="Times New Roman" w:hAnsi="Times New Roman" w:cs="Times New Roman"/>
          <w:sz w:val="24"/>
          <w:szCs w:val="24"/>
        </w:rPr>
        <w:t xml:space="preserve"> polárního PVC a teplotní závislost </w:t>
      </w:r>
      <w:proofErr w:type="spellStart"/>
      <w:r w:rsidRPr="00320888">
        <w:rPr>
          <w:rFonts w:ascii="Times New Roman" w:hAnsi="Times New Roman" w:cs="Times New Roman"/>
          <w:sz w:val="24"/>
          <w:szCs w:val="24"/>
        </w:rPr>
        <w:t>ε</w:t>
      </w:r>
      <w:r w:rsidRPr="0032088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3208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0888">
        <w:rPr>
          <w:rFonts w:ascii="Times New Roman" w:hAnsi="Times New Roman" w:cs="Times New Roman"/>
          <w:sz w:val="24"/>
          <w:szCs w:val="24"/>
        </w:rPr>
        <w:t xml:space="preserve">nepolárního PE. Měření proveďte v rozmezí 25°C až 75°C s teplotním krokem 5°C a to při dvou kmitočtech,které stanoví </w:t>
      </w:r>
      <w:proofErr w:type="gramStart"/>
      <w:r w:rsidRPr="00320888">
        <w:rPr>
          <w:rFonts w:ascii="Times New Roman" w:hAnsi="Times New Roman" w:cs="Times New Roman"/>
          <w:sz w:val="24"/>
          <w:szCs w:val="24"/>
        </w:rPr>
        <w:t>učitel.Naměřené</w:t>
      </w:r>
      <w:proofErr w:type="gramEnd"/>
      <w:r w:rsidRPr="00320888">
        <w:rPr>
          <w:rFonts w:ascii="Times New Roman" w:hAnsi="Times New Roman" w:cs="Times New Roman"/>
          <w:sz w:val="24"/>
          <w:szCs w:val="24"/>
        </w:rPr>
        <w:t xml:space="preserve"> údaje zpracujte tabelárně a graficky.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88">
        <w:rPr>
          <w:rFonts w:ascii="Times New Roman" w:hAnsi="Times New Roman" w:cs="Times New Roman"/>
          <w:sz w:val="24"/>
          <w:szCs w:val="24"/>
        </w:rPr>
        <w:t>Grafy vykreslete do jedné soustavy 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888" w:rsidRDefault="00320888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BF4AD6" w:rsidRDefault="00E25D9D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Seznam použitých přístrojů:</w:t>
      </w:r>
    </w:p>
    <w:p w:rsidR="00956CDC" w:rsidRDefault="00320888" w:rsidP="005E12B7">
      <w:pPr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Multimetr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(měřič kapacity a ztrátového čísla), přípravek pro měření kapacity, přípravek pro měření teplotní závislosti, teploměr, předložené vzorky připravené k proměření (konkrétní vzorky jsou uvedeny v tabulce 1)</w:t>
      </w:r>
    </w:p>
    <w:p w:rsidR="00C54E6A" w:rsidRDefault="00C54E6A" w:rsidP="005E12B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Schéma:</w:t>
      </w:r>
    </w:p>
    <w:p w:rsidR="00A525AD" w:rsidRDefault="00A525AD" w:rsidP="00A525AD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cs-CZ"/>
        </w:rPr>
        <w:drawing>
          <wp:inline distT="0" distB="0" distL="0" distR="0">
            <wp:extent cx="2597150" cy="1628372"/>
            <wp:effectExtent l="19050" t="0" r="0" b="0"/>
            <wp:docPr id="3" name="Obrázek 2" descr="merici pripravek k uloz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ci pripravek k uloz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635" cy="163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AD" w:rsidRPr="00A525AD" w:rsidRDefault="00A525AD" w:rsidP="00A5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5AD">
        <w:rPr>
          <w:rFonts w:ascii="Times New Roman" w:hAnsi="Times New Roman" w:cs="Times New Roman"/>
          <w:sz w:val="24"/>
          <w:szCs w:val="24"/>
        </w:rPr>
        <w:t>Obr.1.</w:t>
      </w:r>
      <w:proofErr w:type="gramEnd"/>
      <w:r w:rsidRPr="00A525AD">
        <w:rPr>
          <w:rFonts w:ascii="Times New Roman" w:hAnsi="Times New Roman" w:cs="Times New Roman"/>
          <w:sz w:val="24"/>
          <w:szCs w:val="24"/>
        </w:rPr>
        <w:t xml:space="preserve"> Měření dielektrických parametrů tuhých látek</w:t>
      </w:r>
    </w:p>
    <w:p w:rsidR="00A525AD" w:rsidRPr="00A525AD" w:rsidRDefault="00A525AD" w:rsidP="00A5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AD">
        <w:rPr>
          <w:rFonts w:ascii="Times New Roman" w:hAnsi="Times New Roman" w:cs="Times New Roman"/>
          <w:sz w:val="24"/>
          <w:szCs w:val="24"/>
        </w:rPr>
        <w:t>P – měřicí přípravek, V – vzorek, E – kovové kontaktní elektrody, F – přítlačná síla,</w:t>
      </w:r>
    </w:p>
    <w:p w:rsidR="00A525AD" w:rsidRPr="00A525AD" w:rsidRDefault="00A525AD" w:rsidP="00A525AD">
      <w:pPr>
        <w:jc w:val="both"/>
        <w:rPr>
          <w:rFonts w:ascii="Times New Roman" w:hAnsi="Times New Roman" w:cs="Times New Roman"/>
          <w:sz w:val="24"/>
          <w:szCs w:val="24"/>
        </w:rPr>
      </w:pPr>
      <w:r w:rsidRPr="00A525AD">
        <w:rPr>
          <w:rFonts w:ascii="Times New Roman" w:hAnsi="Times New Roman" w:cs="Times New Roman"/>
          <w:sz w:val="24"/>
          <w:szCs w:val="24"/>
        </w:rPr>
        <w:t>M – měřič RLCG</w:t>
      </w:r>
    </w:p>
    <w:p w:rsidR="00C54E6A" w:rsidRDefault="00A525AD" w:rsidP="00A525AD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cs-CZ"/>
        </w:rPr>
        <w:drawing>
          <wp:inline distT="0" distB="0" distL="0" distR="0">
            <wp:extent cx="3943350" cy="1806064"/>
            <wp:effectExtent l="19050" t="0" r="0" b="0"/>
            <wp:docPr id="4" name="Obrázek 3" descr="merici pripravek k uloze 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ci pripravek k uloze 4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725" cy="180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AD" w:rsidRPr="00A525AD" w:rsidRDefault="00AE4063" w:rsidP="00A5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</w:t>
      </w:r>
      <w:r w:rsidR="00A525AD" w:rsidRPr="00A525AD">
        <w:rPr>
          <w:rFonts w:ascii="Times New Roman" w:hAnsi="Times New Roman" w:cs="Times New Roman"/>
          <w:sz w:val="24"/>
          <w:szCs w:val="24"/>
        </w:rPr>
        <w:t>. Schéma pracoviště pro měření teplotních závislostí dielektrických parametrů fólií PE</w:t>
      </w:r>
    </w:p>
    <w:p w:rsidR="00A525AD" w:rsidRPr="00A525AD" w:rsidRDefault="00A525AD" w:rsidP="00A5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AD">
        <w:rPr>
          <w:rFonts w:ascii="Times New Roman" w:hAnsi="Times New Roman" w:cs="Times New Roman"/>
          <w:sz w:val="24"/>
          <w:szCs w:val="24"/>
        </w:rPr>
        <w:t>a PVC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5A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525AD">
        <w:rPr>
          <w:rFonts w:ascii="Times New Roman" w:hAnsi="Times New Roman" w:cs="Times New Roman"/>
          <w:sz w:val="24"/>
          <w:szCs w:val="24"/>
        </w:rPr>
        <w:t xml:space="preserve"> – zdroj pro ohřev, R – teplotní regulátor, P – měřicí přípravek, V</w:t>
      </w:r>
      <w:r w:rsidRPr="00A525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25AD">
        <w:rPr>
          <w:rFonts w:ascii="Times New Roman" w:hAnsi="Times New Roman" w:cs="Times New Roman"/>
          <w:sz w:val="24"/>
          <w:szCs w:val="24"/>
        </w:rPr>
        <w:t xml:space="preserve"> – vzorek PVC,</w:t>
      </w:r>
    </w:p>
    <w:p w:rsidR="00A525AD" w:rsidRDefault="00A525AD" w:rsidP="00A525AD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A525AD">
        <w:rPr>
          <w:rFonts w:ascii="Times New Roman" w:hAnsi="Times New Roman" w:cs="Times New Roman"/>
          <w:sz w:val="24"/>
          <w:szCs w:val="24"/>
        </w:rPr>
        <w:t>V</w:t>
      </w:r>
      <w:r w:rsidRPr="00A525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25AD">
        <w:rPr>
          <w:rFonts w:ascii="Times New Roman" w:hAnsi="Times New Roman" w:cs="Times New Roman"/>
          <w:sz w:val="24"/>
          <w:szCs w:val="24"/>
        </w:rPr>
        <w:t xml:space="preserve"> – vzorek PE, M – RLCG měřič, </w:t>
      </w:r>
      <w:proofErr w:type="spellStart"/>
      <w:r w:rsidRPr="00A525A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525AD">
        <w:rPr>
          <w:rFonts w:ascii="Times New Roman" w:hAnsi="Times New Roman" w:cs="Times New Roman"/>
          <w:sz w:val="24"/>
          <w:szCs w:val="24"/>
        </w:rPr>
        <w:t xml:space="preserve"> – teplotní senzory, O – ohřívací článek</w:t>
      </w:r>
    </w:p>
    <w:p w:rsidR="00E25D9D" w:rsidRDefault="00E25D9D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lastRenderedPageBreak/>
        <w:t>Teoretický rozbor úlohy:</w:t>
      </w:r>
    </w:p>
    <w:p w:rsidR="003A63E5" w:rsidRDefault="00625C77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Víme, že se vyskytují dva různé typy polarizace dielektrik, které jsou závislé na typu dané látky. Rozlišujeme, zda je látka polární nebo nepolární. Nepolární látka má valenční elektrony rovnoměrně kolem jádra, zatímco u polární látky existují tzv. elementární dipóly. Při vložení látky do el. </w:t>
      </w:r>
      <w:proofErr w:type="gramStart"/>
      <w:r>
        <w:rPr>
          <w:rFonts w:ascii="Times New Roman" w:hAnsi="Times New Roman" w:cs="Times New Roman"/>
          <w:sz w:val="24"/>
          <w:szCs w:val="24"/>
        </w:rPr>
        <w:t>pole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dojde k polarizaci. U nepolárních látek se kladně nabitá jádra posunou rovnoběžně ve směru intenzity pole E a záporné valenční elektrony proti směru intenzity. U polárních látek dojde k natáčení dipólů. Úhel natočení je závislí na intenzitě pole. Zatímco první zmíněný proces je rychlý a energeticky málo náročný, druhý proces je energeticky náročný, protože při natáčení dipólů se musí překonávat vnitřní tření látky. U dielektrik rozlišujeme pojmy jako relativní permitivita a ztrátový činitel. Obě tyto hodnoty mohu určit podle následujících vzorců:</w:t>
      </w:r>
    </w:p>
    <w:p w:rsidR="00AE4063" w:rsidRDefault="00AE4063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C77" w:rsidRDefault="003770EB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;     tgδ=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(1; 2)</m:t>
          </m:r>
        </m:oMath>
      </m:oMathPara>
    </w:p>
    <w:p w:rsidR="00AE4063" w:rsidRDefault="00AE4063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5C77" w:rsidRDefault="00625C77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Zatímco u nepolárních dielektrik jsou tyto hodnoty relativně stálé, u polárních látek je silná závislost na teplotě a na frekvenci</w:t>
      </w:r>
      <w:r w:rsidR="00AE4063">
        <w:rPr>
          <w:rFonts w:ascii="Times New Roman" w:eastAsiaTheme="minorEastAsia" w:hAnsi="Times New Roman" w:cs="Times New Roman"/>
          <w:sz w:val="24"/>
          <w:szCs w:val="24"/>
        </w:rPr>
        <w:t>. S rostoucí frekvencí bude u polární látky klesat relativní permitivita, protože se dipóly vlivem vnitřní viskozity nebudou stačit natáčet do krajních poloh.</w:t>
      </w:r>
    </w:p>
    <w:p w:rsidR="00A525AD" w:rsidRDefault="00A525AD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Postup:</w:t>
      </w:r>
    </w:p>
    <w:p w:rsidR="00AE4063" w:rsidRDefault="00AE4063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63" w:rsidRDefault="00AE4063" w:rsidP="00AE40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63">
        <w:rPr>
          <w:rFonts w:ascii="Times New Roman" w:hAnsi="Times New Roman" w:cs="Times New Roman"/>
          <w:sz w:val="24"/>
          <w:szCs w:val="24"/>
        </w:rPr>
        <w:t xml:space="preserve">Měřicí pracoviště pozůstává z měřiče RLCG a elektrodového přípravku, jak je patrné z </w:t>
      </w:r>
      <w:proofErr w:type="gramStart"/>
      <w:r w:rsidRPr="00AE4063">
        <w:rPr>
          <w:rFonts w:ascii="Times New Roman" w:hAnsi="Times New Roman" w:cs="Times New Roman"/>
          <w:sz w:val="24"/>
          <w:szCs w:val="24"/>
        </w:rPr>
        <w:t>obr.1.</w:t>
      </w:r>
      <w:proofErr w:type="gramEnd"/>
      <w:r w:rsidRPr="00AE4063">
        <w:rPr>
          <w:rFonts w:ascii="Times New Roman" w:hAnsi="Times New Roman" w:cs="Times New Roman"/>
          <w:sz w:val="24"/>
          <w:szCs w:val="24"/>
        </w:rPr>
        <w:t xml:space="preserve"> Měření bude provedeno při teplotě místnosti. Rozměry vzorků potřebné k výpočtu C</w:t>
      </w:r>
      <w:r w:rsidRPr="00AE406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E4063">
        <w:rPr>
          <w:rFonts w:ascii="Times New Roman" w:hAnsi="Times New Roman" w:cs="Times New Roman"/>
          <w:sz w:val="24"/>
          <w:szCs w:val="24"/>
        </w:rPr>
        <w:t xml:space="preserve"> jsou uvedené přímo u úlohy a budou uvedeny i v tab. 1. </w:t>
      </w:r>
      <w:proofErr w:type="spellStart"/>
      <w:r w:rsidRPr="00AE4063">
        <w:rPr>
          <w:rFonts w:ascii="Times New Roman" w:hAnsi="Times New Roman" w:cs="Times New Roman"/>
          <w:sz w:val="24"/>
          <w:szCs w:val="24"/>
        </w:rPr>
        <w:t>ε</w:t>
      </w:r>
      <w:r w:rsidRPr="00AE406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AE4063">
        <w:rPr>
          <w:rFonts w:ascii="Times New Roman" w:hAnsi="Times New Roman" w:cs="Times New Roman"/>
          <w:sz w:val="24"/>
          <w:szCs w:val="24"/>
        </w:rPr>
        <w:t xml:space="preserve"> je dáno vztahem (1). Soubor vzorků je vytvořen z materiálů, s nimiž se běžně setkáváme v elektrotechnické praxi. Primární elektrody vzorků jsou vytvořené vakuovým napařením </w:t>
      </w:r>
      <w:proofErr w:type="spellStart"/>
      <w:r w:rsidRPr="00AE406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E4063">
        <w:rPr>
          <w:rFonts w:ascii="Times New Roman" w:hAnsi="Times New Roman" w:cs="Times New Roman"/>
          <w:sz w:val="24"/>
          <w:szCs w:val="24"/>
        </w:rPr>
        <w:t>. Tyto ekvipotenciální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063">
        <w:rPr>
          <w:rFonts w:ascii="Times New Roman" w:hAnsi="Times New Roman" w:cs="Times New Roman"/>
          <w:sz w:val="24"/>
          <w:szCs w:val="24"/>
        </w:rPr>
        <w:t>vrstvy jsou velmi citlivé na oděr, proto je nutné se vzorky zacházet ohleduplně.</w:t>
      </w:r>
    </w:p>
    <w:p w:rsidR="00AE4063" w:rsidRDefault="00AE4063" w:rsidP="00AE40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63">
        <w:rPr>
          <w:rFonts w:ascii="Times New Roman" w:hAnsi="Times New Roman" w:cs="Times New Roman"/>
          <w:sz w:val="24"/>
          <w:szCs w:val="24"/>
        </w:rPr>
        <w:t xml:space="preserve">Měřenými vzorky jsou tenké fólie </w:t>
      </w:r>
      <w:proofErr w:type="spellStart"/>
      <w:r w:rsidRPr="00AE4063">
        <w:rPr>
          <w:rFonts w:ascii="Times New Roman" w:hAnsi="Times New Roman" w:cs="Times New Roman"/>
          <w:sz w:val="24"/>
          <w:szCs w:val="24"/>
        </w:rPr>
        <w:t>polyethylénu</w:t>
      </w:r>
      <w:proofErr w:type="spellEnd"/>
      <w:r w:rsidRPr="00AE4063">
        <w:rPr>
          <w:rFonts w:ascii="Times New Roman" w:hAnsi="Times New Roman" w:cs="Times New Roman"/>
          <w:sz w:val="24"/>
          <w:szCs w:val="24"/>
        </w:rPr>
        <w:t xml:space="preserve"> PE a polyvinylchloridu PVC umístěné v měřicím přípravku, který je důležitou součástí pracoviště znázorněného na obr. 2. Fólie jsou přitlačovány k základové desce, jejíž teplotu lze zvolit a udržovat teplotním regulátorem na požadované úrovni. Na měřiči RLCG odečítáme přímo C</w:t>
      </w:r>
      <w:r w:rsidRPr="00AE4063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AE4063">
        <w:rPr>
          <w:rFonts w:ascii="Times New Roman" w:hAnsi="Times New Roman" w:cs="Times New Roman"/>
          <w:sz w:val="24"/>
          <w:szCs w:val="24"/>
        </w:rPr>
        <w:t xml:space="preserve"> a D=tg(δ). Pro výpočet permitivity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063">
        <w:rPr>
          <w:rFonts w:ascii="Times New Roman" w:hAnsi="Times New Roman" w:cs="Times New Roman"/>
          <w:sz w:val="24"/>
          <w:szCs w:val="24"/>
        </w:rPr>
        <w:t>platí vztah</w:t>
      </w:r>
    </w:p>
    <w:p w:rsidR="00AE4063" w:rsidRDefault="00AE4063" w:rsidP="00A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63" w:rsidRDefault="003770EB" w:rsidP="00A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AE4063" w:rsidRPr="00AE4063" w:rsidRDefault="00AE4063" w:rsidP="00A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63" w:rsidRPr="00AE4063" w:rsidRDefault="00AE4063" w:rsidP="00AE4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4063">
        <w:rPr>
          <w:rFonts w:ascii="Times New Roman" w:hAnsi="Times New Roman" w:cs="Times New Roman"/>
          <w:sz w:val="24"/>
          <w:szCs w:val="24"/>
        </w:rPr>
        <w:t>kde C</w:t>
      </w:r>
      <w:r w:rsidRPr="00AE4063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AE4063">
        <w:rPr>
          <w:rFonts w:ascii="Times New Roman" w:hAnsi="Times New Roman" w:cs="Times New Roman"/>
          <w:sz w:val="24"/>
          <w:szCs w:val="24"/>
        </w:rPr>
        <w:t xml:space="preserve"> je odečtená kapacita z přístroje,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063">
        <w:rPr>
          <w:rFonts w:ascii="Times New Roman" w:hAnsi="Times New Roman" w:cs="Times New Roman"/>
          <w:sz w:val="24"/>
          <w:szCs w:val="24"/>
        </w:rPr>
        <w:t>C</w:t>
      </w:r>
      <w:r w:rsidRPr="00AE406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AE4063">
        <w:rPr>
          <w:rFonts w:ascii="Times New Roman" w:hAnsi="Times New Roman" w:cs="Times New Roman"/>
          <w:sz w:val="24"/>
          <w:szCs w:val="24"/>
        </w:rPr>
        <w:t xml:space="preserve"> - parazitní okrajová kapacita příslušného </w:t>
      </w:r>
      <w:r>
        <w:rPr>
          <w:rFonts w:ascii="Times New Roman" w:hAnsi="Times New Roman" w:cs="Times New Roman"/>
          <w:sz w:val="24"/>
          <w:szCs w:val="24"/>
        </w:rPr>
        <w:t>vzorku, kterou nebudeme u této úlohy brát v potaz.</w:t>
      </w: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5A7" w:rsidRDefault="00CB7A5F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Naměřené </w:t>
      </w:r>
      <w:r w:rsidR="00C618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spočtené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hodnoty:</w:t>
      </w:r>
    </w:p>
    <w:p w:rsidR="00EB10FA" w:rsidRDefault="00EB10FA" w:rsidP="00EB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Ukázkový výpočet permitivity pro vzorek 10 (Korek).</w:t>
      </w:r>
    </w:p>
    <w:p w:rsidR="00EB10FA" w:rsidRDefault="00387515" w:rsidP="0038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7515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2565400" cy="1027247"/>
            <wp:effectExtent l="19050" t="0" r="6350" b="0"/>
            <wp:docPr id="2" name="Obrázek 4" descr="uloh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ha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735" cy="102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44" w:rsidRDefault="00052A44" w:rsidP="00C2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Tab. 1.</w:t>
      </w:r>
    </w:p>
    <w:tbl>
      <w:tblPr>
        <w:tblW w:w="788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311"/>
        <w:gridCol w:w="864"/>
        <w:gridCol w:w="960"/>
        <w:gridCol w:w="960"/>
        <w:gridCol w:w="960"/>
        <w:gridCol w:w="976"/>
      </w:tblGrid>
      <w:tr w:rsidR="00C25402" w:rsidRPr="00C25402" w:rsidTr="00C2540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Vzorek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h [mm]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d [mm]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Cx</w:t>
            </w:r>
            <w:proofErr w:type="spellEnd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pF</w:t>
            </w:r>
            <w:proofErr w:type="spellEnd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D [-]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er</w:t>
            </w:r>
            <w:proofErr w:type="spellEnd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[F/m]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4,435045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Pertinax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7,576613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0,0285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2,583333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Silikonová pryž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0,0951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3,622546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PMMA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0,0982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4,241692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Sklotextil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6,215393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Textil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0,3684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11,30952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Drážková izolace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0,2015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7,112339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PET folie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0,0218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4,252159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korek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1,933535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Keramika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0,1165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51,98813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Pěnový polystyren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1,966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kondenzátorové vzorky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10x4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0,0492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1128,237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12,6x4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0,0195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7116,3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12X3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0,0337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10204,23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10x16x2,5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6116,15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piezokeramika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6x12x1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0,6155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653,43</w:t>
            </w:r>
          </w:p>
        </w:tc>
      </w:tr>
      <w:tr w:rsidR="00C25402" w:rsidRPr="00C25402" w:rsidTr="00C254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10x6,2x14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0,0792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978,12</w:t>
            </w:r>
          </w:p>
        </w:tc>
      </w:tr>
    </w:tbl>
    <w:p w:rsidR="00EB10FA" w:rsidRPr="00EB10FA" w:rsidRDefault="00EB10FA" w:rsidP="00EB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Tabulka pořadí</w:t>
      </w:r>
      <w:r w:rsidR="00387515">
        <w:rPr>
          <w:rFonts w:ascii="Times New Roman" w:hAnsi="Times New Roman" w:cs="Times New Roman"/>
          <w:bCs/>
          <w:sz w:val="24"/>
          <w:szCs w:val="24"/>
        </w:rPr>
        <w:t xml:space="preserve"> od nejmenší hodnoty </w:t>
      </w:r>
      <w:proofErr w:type="spellStart"/>
      <w:r w:rsidR="00387515" w:rsidRPr="00320888">
        <w:rPr>
          <w:rFonts w:ascii="Times New Roman" w:hAnsi="Times New Roman" w:cs="Times New Roman"/>
          <w:sz w:val="24"/>
          <w:szCs w:val="24"/>
        </w:rPr>
        <w:t>ε</w:t>
      </w:r>
      <w:r w:rsidR="00387515" w:rsidRPr="0032088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99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</w:tblGrid>
      <w:tr w:rsidR="00C25402" w:rsidRPr="00C25402" w:rsidTr="00C25402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korek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Pěnový polystyren 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Silikonová pryž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PMMA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PET folie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Keramika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Sklotextil</w:t>
            </w:r>
            <w:proofErr w:type="spellEnd"/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Drážková izolace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Pertinax</w:t>
            </w:r>
            <w:proofErr w:type="spellEnd"/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Textil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C25402" w:rsidRPr="00C25402" w:rsidTr="00C2540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02" w:rsidRPr="00C25402" w:rsidRDefault="00C25402" w:rsidP="00C25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5402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</w:tr>
    </w:tbl>
    <w:p w:rsidR="00EB10FA" w:rsidRPr="00EB10FA" w:rsidRDefault="00EB10FA" w:rsidP="00EB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314" w:rsidRDefault="00631314" w:rsidP="0063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2F4" w:rsidRDefault="00A925A7" w:rsidP="0063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Tab. </w:t>
      </w:r>
      <w:r w:rsidR="009872F4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</w:p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865"/>
        <w:gridCol w:w="1055"/>
        <w:gridCol w:w="960"/>
        <w:gridCol w:w="960"/>
      </w:tblGrid>
      <w:tr w:rsidR="009872F4" w:rsidRPr="009872F4" w:rsidTr="00987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200 Hz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20 kHz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t [°C]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Cx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Cx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200 Hz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20 kHz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t [°C]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Cx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Cx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364,2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298,4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0,0432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382,5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0,0527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415,3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0,0652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446,2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0,0492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367,9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0,0427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520,1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390,1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0,055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0,0658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592,1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0,0728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618,1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472,6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0,0748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641,2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0,0723</w:t>
            </w:r>
          </w:p>
        </w:tc>
      </w:tr>
      <w:tr w:rsidR="009872F4" w:rsidRPr="009872F4" w:rsidTr="00987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661,1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543,8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4" w:rsidRPr="009872F4" w:rsidRDefault="009872F4" w:rsidP="0098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2F4">
              <w:rPr>
                <w:rFonts w:ascii="Calibri" w:eastAsia="Times New Roman" w:hAnsi="Calibri" w:cs="Calibri"/>
                <w:color w:val="000000"/>
                <w:lang w:eastAsia="cs-CZ"/>
              </w:rPr>
              <w:t>0,0642</w:t>
            </w:r>
          </w:p>
        </w:tc>
      </w:tr>
    </w:tbl>
    <w:p w:rsidR="009872F4" w:rsidRDefault="009872F4" w:rsidP="0063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25402" w:rsidRDefault="00C25402" w:rsidP="0063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V následující tabulce uvedu hodnoty relativní permitivity daných vzorků pro jednotlivé teploty a frekvence. Výpočty provedu stejně jako vzorový výpočet pro PVC při frekvenci 200 Hz a teplotě 28, 6°C:</w:t>
      </w:r>
    </w:p>
    <w:p w:rsidR="00C25402" w:rsidRDefault="00C25402" w:rsidP="0063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25402" w:rsidRDefault="00C25402" w:rsidP="00C25402">
      <w:pPr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364,2</m:t>
              </m:r>
            </m:num>
            <m:den>
              <m:r>
                <w:rPr>
                  <w:rFonts w:ascii="Cambria Math" w:hAnsi="Cambria Math"/>
                </w:rPr>
                <m:t>111,156</m:t>
              </m:r>
            </m:den>
          </m:f>
          <m:r>
            <w:rPr>
              <w:rFonts w:ascii="Cambria Math" w:hAnsi="Cambria Math"/>
            </w:rPr>
            <m:t>=3,2764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:rsidR="007845DB" w:rsidRDefault="007845DB" w:rsidP="00C25402">
      <w:pPr>
        <w:ind w:left="284"/>
        <w:rPr>
          <w:rFonts w:eastAsiaTheme="minorEastAsia"/>
          <w:lang w:val="en-US"/>
        </w:rPr>
      </w:pPr>
    </w:p>
    <w:p w:rsidR="007845DB" w:rsidRDefault="007845DB" w:rsidP="00C25402">
      <w:pPr>
        <w:ind w:left="284"/>
        <w:rPr>
          <w:rFonts w:eastAsiaTheme="minorEastAsia"/>
          <w:lang w:val="en-US"/>
        </w:rPr>
      </w:pPr>
    </w:p>
    <w:p w:rsidR="007845DB" w:rsidRDefault="007845DB" w:rsidP="00C25402">
      <w:pPr>
        <w:ind w:left="284"/>
        <w:rPr>
          <w:rFonts w:eastAsiaTheme="minorEastAsia"/>
          <w:lang w:val="en-US"/>
        </w:rPr>
      </w:pPr>
    </w:p>
    <w:p w:rsidR="007845DB" w:rsidRDefault="007845DB" w:rsidP="00C25402">
      <w:pPr>
        <w:ind w:left="284"/>
        <w:rPr>
          <w:rFonts w:eastAsiaTheme="minorEastAsia"/>
          <w:lang w:val="en-US"/>
        </w:rPr>
      </w:pPr>
    </w:p>
    <w:p w:rsidR="007845DB" w:rsidRDefault="007845DB" w:rsidP="00C25402">
      <w:pPr>
        <w:ind w:left="284"/>
        <w:rPr>
          <w:rFonts w:eastAsiaTheme="minorEastAsia"/>
          <w:lang w:val="en-US"/>
        </w:rPr>
      </w:pPr>
    </w:p>
    <w:p w:rsidR="007845DB" w:rsidRDefault="007845DB" w:rsidP="00C25402">
      <w:pPr>
        <w:ind w:left="284"/>
        <w:rPr>
          <w:rFonts w:eastAsiaTheme="minorEastAsia"/>
          <w:lang w:val="en-US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76"/>
        <w:gridCol w:w="976"/>
        <w:gridCol w:w="976"/>
        <w:gridCol w:w="976"/>
      </w:tblGrid>
      <w:tr w:rsidR="003B4645" w:rsidRPr="003B4645" w:rsidTr="003B464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</w:tr>
      <w:tr w:rsidR="003B4645" w:rsidRPr="003B4645" w:rsidTr="003B4645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45" w:rsidRPr="003B4645" w:rsidRDefault="003B4645" w:rsidP="003B4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  <w:r w:rsidRPr="003B4645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1</w:t>
            </w: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[Hz]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  <w:r w:rsidRPr="003B4645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[Hz]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  <w:r w:rsidRPr="003B4645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1</w:t>
            </w: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[Hz]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  <w:r w:rsidRPr="003B4645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[Hz]</w:t>
            </w:r>
          </w:p>
        </w:tc>
      </w:tr>
      <w:tr w:rsidR="003B4645" w:rsidRPr="003B4645" w:rsidTr="003B4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T[  ̊C</w:t>
            </w:r>
            <w:proofErr w:type="gramEnd"/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]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ε</w:t>
            </w:r>
            <w:r w:rsidRPr="003B4645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ε</w:t>
            </w:r>
            <w:r w:rsidRPr="003B4645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</w:t>
            </w:r>
            <w:proofErr w:type="spellEnd"/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3,276476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2,684515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2,195319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2,200484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3,44111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2,866242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2,187939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2,199008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2,984094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2,187939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2,193474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4,014178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3,136133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2,182405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2,187939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4,365936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3,309763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2,175026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2,181667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4,67901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3,509482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2,171336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2,177239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5,051459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3,739789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2,165802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2,17189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5,326748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4,006082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2,167278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5,560653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4,251682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2,163403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5,76847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4,553061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2,160267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2,160267</w:t>
            </w:r>
          </w:p>
        </w:tc>
      </w:tr>
      <w:tr w:rsidR="003B4645" w:rsidRPr="003B4645" w:rsidTr="003B4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5,947497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4,892224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2,156578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45" w:rsidRPr="003B4645" w:rsidRDefault="003B4645" w:rsidP="003B4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645">
              <w:rPr>
                <w:rFonts w:ascii="Calibri" w:eastAsia="Times New Roman" w:hAnsi="Calibri" w:cs="Calibri"/>
                <w:color w:val="000000"/>
                <w:lang w:eastAsia="cs-CZ"/>
              </w:rPr>
              <w:t>2,151043</w:t>
            </w:r>
          </w:p>
        </w:tc>
      </w:tr>
    </w:tbl>
    <w:p w:rsidR="00972DF2" w:rsidRDefault="00972DF2" w:rsidP="0097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845DB" w:rsidRDefault="003B4645" w:rsidP="0097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Závislost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</w:t>
      </w:r>
      <w:r w:rsidRPr="003B4645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x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(osa y) na teplotě t (osa x)</w:t>
      </w:r>
      <w:r w:rsidR="00972D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pří frekvencích 200 Hz a 20 kHz.</w:t>
      </w:r>
    </w:p>
    <w:p w:rsidR="00A925A7" w:rsidRDefault="009872F4" w:rsidP="0098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2F4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4222750" cy="2657838"/>
            <wp:effectExtent l="19050" t="0" r="25400" b="9162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645" w:rsidRDefault="003B4645" w:rsidP="003B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Závislost ztrátového čísla D (osa y) na teplotě t</w:t>
      </w:r>
      <w:r w:rsidR="00972D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(osa x) při frekvencích 200 Hz a 20 kHz.</w:t>
      </w:r>
    </w:p>
    <w:p w:rsidR="009872F4" w:rsidRDefault="009872F4" w:rsidP="0098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2F4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4222750" cy="2658122"/>
            <wp:effectExtent l="19050" t="0" r="25400" b="8878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047B" w:rsidRDefault="00CA7B24" w:rsidP="00CA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Závěr:</w:t>
      </w:r>
    </w:p>
    <w:p w:rsidR="00842B93" w:rsidRDefault="00842B93" w:rsidP="00CA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45E4A" w:rsidRPr="009872F4" w:rsidRDefault="009872F4" w:rsidP="0098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F4">
        <w:rPr>
          <w:rFonts w:ascii="Times New Roman" w:hAnsi="Times New Roman" w:cs="Times New Roman"/>
          <w:sz w:val="24"/>
          <w:szCs w:val="24"/>
        </w:rPr>
        <w:t>V první části úlohy jsme ověřili relativní permitivitu. V druhé části její teplotní závislost při dvou různých frekvencích. PVC je látka elektricky polární. Při vzrůstající teplotě stoupá relativní permitivita. D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872F4">
        <w:rPr>
          <w:rFonts w:ascii="Times New Roman" w:hAnsi="Times New Roman" w:cs="Times New Roman"/>
          <w:sz w:val="24"/>
          <w:szCs w:val="24"/>
        </w:rPr>
        <w:t>vodem</w:t>
      </w:r>
      <w:r>
        <w:rPr>
          <w:rFonts w:ascii="Times New Roman" w:hAnsi="Times New Roman" w:cs="Times New Roman"/>
          <w:sz w:val="24"/>
          <w:szCs w:val="24"/>
        </w:rPr>
        <w:t xml:space="preserve"> je vn</w:t>
      </w:r>
      <w:r w:rsidRPr="009872F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9872F4">
        <w:rPr>
          <w:rFonts w:ascii="Times New Roman" w:hAnsi="Times New Roman" w:cs="Times New Roman"/>
          <w:sz w:val="24"/>
          <w:szCs w:val="24"/>
        </w:rPr>
        <w:t>ní stavba, dipóly se 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9872F4">
        <w:rPr>
          <w:rFonts w:ascii="Times New Roman" w:hAnsi="Times New Roman" w:cs="Times New Roman"/>
          <w:sz w:val="24"/>
          <w:szCs w:val="24"/>
        </w:rPr>
        <w:t>i vy</w:t>
      </w:r>
      <w:r>
        <w:rPr>
          <w:rFonts w:ascii="Times New Roman" w:hAnsi="Times New Roman" w:cs="Times New Roman"/>
          <w:sz w:val="24"/>
          <w:szCs w:val="24"/>
        </w:rPr>
        <w:t>šš</w:t>
      </w:r>
      <w:r w:rsidRPr="009872F4">
        <w:rPr>
          <w:rFonts w:ascii="Times New Roman" w:hAnsi="Times New Roman" w:cs="Times New Roman"/>
          <w:sz w:val="24"/>
          <w:szCs w:val="24"/>
        </w:rPr>
        <w:t>ích teplotách snáze natá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872F4">
        <w:rPr>
          <w:rFonts w:ascii="Times New Roman" w:hAnsi="Times New Roman" w:cs="Times New Roman"/>
          <w:sz w:val="24"/>
          <w:szCs w:val="24"/>
        </w:rPr>
        <w:t xml:space="preserve">ejí. Ztrátový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872F4">
        <w:rPr>
          <w:rFonts w:ascii="Times New Roman" w:hAnsi="Times New Roman" w:cs="Times New Roman"/>
          <w:sz w:val="24"/>
          <w:szCs w:val="24"/>
        </w:rPr>
        <w:t>initel nejprve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F4">
        <w:rPr>
          <w:rFonts w:ascii="Times New Roman" w:hAnsi="Times New Roman" w:cs="Times New Roman"/>
          <w:sz w:val="24"/>
          <w:szCs w:val="24"/>
        </w:rPr>
        <w:t>s teplotou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872F4">
        <w:rPr>
          <w:rFonts w:ascii="Times New Roman" w:hAnsi="Times New Roman" w:cs="Times New Roman"/>
          <w:sz w:val="24"/>
          <w:szCs w:val="24"/>
        </w:rPr>
        <w:t>oupá a poté mírn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9872F4">
        <w:rPr>
          <w:rFonts w:ascii="Times New Roman" w:hAnsi="Times New Roman" w:cs="Times New Roman"/>
          <w:sz w:val="24"/>
          <w:szCs w:val="24"/>
        </w:rPr>
        <w:t xml:space="preserve"> klesá. PE je látka nepolární. Na pr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872F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9872F4">
        <w:rPr>
          <w:rFonts w:ascii="Times New Roman" w:hAnsi="Times New Roman" w:cs="Times New Roman"/>
          <w:sz w:val="24"/>
          <w:szCs w:val="24"/>
        </w:rPr>
        <w:t>h permitivity nemají tedy vliv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F4">
        <w:rPr>
          <w:rFonts w:ascii="Times New Roman" w:hAnsi="Times New Roman" w:cs="Times New Roman"/>
          <w:sz w:val="24"/>
          <w:szCs w:val="24"/>
        </w:rPr>
        <w:t>dipóly jako u PVC. 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9872F4">
        <w:rPr>
          <w:rFonts w:ascii="Times New Roman" w:hAnsi="Times New Roman" w:cs="Times New Roman"/>
          <w:sz w:val="24"/>
          <w:szCs w:val="24"/>
        </w:rPr>
        <w:t>i vzr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872F4">
        <w:rPr>
          <w:rFonts w:ascii="Times New Roman" w:hAnsi="Times New Roman" w:cs="Times New Roman"/>
          <w:sz w:val="24"/>
          <w:szCs w:val="24"/>
        </w:rPr>
        <w:t>stající teplot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9872F4">
        <w:rPr>
          <w:rFonts w:ascii="Times New Roman" w:hAnsi="Times New Roman" w:cs="Times New Roman"/>
          <w:sz w:val="24"/>
          <w:szCs w:val="24"/>
        </w:rPr>
        <w:t xml:space="preserve"> se relativní permitivita tém</w:t>
      </w:r>
      <w:r>
        <w:rPr>
          <w:rFonts w:ascii="Times New Roman" w:hAnsi="Times New Roman" w:cs="Times New Roman"/>
          <w:sz w:val="24"/>
          <w:szCs w:val="24"/>
        </w:rPr>
        <w:t>ěř</w:t>
      </w:r>
      <w:r w:rsidRPr="009872F4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>ění, trochu klesá, což</w:t>
      </w:r>
      <w:r w:rsidRPr="009872F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F4"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872F4">
        <w:rPr>
          <w:rFonts w:ascii="Times New Roman" w:hAnsi="Times New Roman" w:cs="Times New Roman"/>
          <w:sz w:val="24"/>
          <w:szCs w:val="24"/>
        </w:rPr>
        <w:t>sobeno nar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872F4">
        <w:rPr>
          <w:rFonts w:ascii="Times New Roman" w:hAnsi="Times New Roman" w:cs="Times New Roman"/>
          <w:sz w:val="24"/>
          <w:szCs w:val="24"/>
        </w:rPr>
        <w:t>stajícím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872F4">
        <w:rPr>
          <w:rFonts w:ascii="Times New Roman" w:hAnsi="Times New Roman" w:cs="Times New Roman"/>
          <w:sz w:val="24"/>
          <w:szCs w:val="24"/>
        </w:rPr>
        <w:t>tem volných elektron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872F4">
        <w:rPr>
          <w:rFonts w:ascii="Times New Roman" w:hAnsi="Times New Roman" w:cs="Times New Roman"/>
          <w:sz w:val="24"/>
          <w:szCs w:val="24"/>
        </w:rPr>
        <w:t>.</w:t>
      </w:r>
      <w:r w:rsidR="003B4645">
        <w:rPr>
          <w:rFonts w:ascii="Times New Roman" w:hAnsi="Times New Roman" w:cs="Times New Roman"/>
          <w:sz w:val="24"/>
          <w:szCs w:val="24"/>
        </w:rPr>
        <w:t xml:space="preserve"> V grafu </w:t>
      </w:r>
    </w:p>
    <w:sectPr w:rsidR="00445E4A" w:rsidRPr="009872F4" w:rsidSect="00BE25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D5" w:rsidRDefault="002565D5" w:rsidP="005E12B7">
      <w:pPr>
        <w:spacing w:after="0" w:line="240" w:lineRule="auto"/>
      </w:pPr>
      <w:r>
        <w:separator/>
      </w:r>
    </w:p>
  </w:endnote>
  <w:endnote w:type="continuationSeparator" w:id="0">
    <w:p w:rsidR="002565D5" w:rsidRDefault="002565D5" w:rsidP="005E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072"/>
      <w:docPartObj>
        <w:docPartGallery w:val="Page Numbers (Bottom of Page)"/>
        <w:docPartUnique/>
      </w:docPartObj>
    </w:sdtPr>
    <w:sdtContent>
      <w:p w:rsidR="007845DB" w:rsidRDefault="007845DB">
        <w:pPr>
          <w:pStyle w:val="Zpat"/>
          <w:jc w:val="center"/>
        </w:pPr>
        <w:r w:rsidRPr="00C1528D">
          <w:rPr>
            <w:rFonts w:ascii="Times New Roman" w:hAnsi="Times New Roman" w:cs="Times New Roman"/>
          </w:rPr>
          <w:fldChar w:fldCharType="begin"/>
        </w:r>
        <w:r w:rsidRPr="00C1528D">
          <w:rPr>
            <w:rFonts w:ascii="Times New Roman" w:hAnsi="Times New Roman" w:cs="Times New Roman"/>
          </w:rPr>
          <w:instrText xml:space="preserve"> PAGE   \* MERGEFORMAT </w:instrText>
        </w:r>
        <w:r w:rsidRPr="00C1528D">
          <w:rPr>
            <w:rFonts w:ascii="Times New Roman" w:hAnsi="Times New Roman" w:cs="Times New Roman"/>
          </w:rPr>
          <w:fldChar w:fldCharType="separate"/>
        </w:r>
        <w:r w:rsidR="00972DF2">
          <w:rPr>
            <w:rFonts w:ascii="Times New Roman" w:hAnsi="Times New Roman" w:cs="Times New Roman"/>
            <w:noProof/>
          </w:rPr>
          <w:t>6</w:t>
        </w:r>
        <w:r w:rsidRPr="00C1528D">
          <w:rPr>
            <w:rFonts w:ascii="Times New Roman" w:hAnsi="Times New Roman" w:cs="Times New Roman"/>
          </w:rPr>
          <w:fldChar w:fldCharType="end"/>
        </w:r>
      </w:p>
    </w:sdtContent>
  </w:sdt>
  <w:p w:rsidR="007845DB" w:rsidRDefault="007845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D5" w:rsidRDefault="002565D5" w:rsidP="005E12B7">
      <w:pPr>
        <w:spacing w:after="0" w:line="240" w:lineRule="auto"/>
      </w:pPr>
      <w:r>
        <w:separator/>
      </w:r>
    </w:p>
  </w:footnote>
  <w:footnote w:type="continuationSeparator" w:id="0">
    <w:p w:rsidR="002565D5" w:rsidRDefault="002565D5" w:rsidP="005E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B" w:rsidRPr="00C1528D" w:rsidRDefault="007845DB">
    <w:pPr>
      <w:pStyle w:val="Zhlav"/>
      <w:rPr>
        <w:rFonts w:ascii="Times New Roman" w:hAnsi="Times New Roman" w:cs="Times New Roman"/>
      </w:rPr>
    </w:pPr>
    <w:r w:rsidRPr="00C1528D">
      <w:rPr>
        <w:rFonts w:ascii="Times New Roman" w:hAnsi="Times New Roman" w:cs="Times New Roman"/>
      </w:rPr>
      <w:t>Štěpán Kohout</w:t>
    </w:r>
    <w:r w:rsidRPr="00C1528D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Úloha 4</w:t>
    </w:r>
    <w:r w:rsidRPr="00C1528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20</w:t>
    </w:r>
    <w:r w:rsidRPr="00C1528D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10</w:t>
    </w:r>
    <w:r w:rsidRPr="00C1528D">
      <w:rPr>
        <w:rFonts w:ascii="Times New Roman" w:hAnsi="Times New Roman" w:cs="Times New Roman"/>
      </w:rPr>
      <w:t>.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6"/>
    <w:multiLevelType w:val="hybridMultilevel"/>
    <w:tmpl w:val="BC442F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4F9"/>
    <w:multiLevelType w:val="hybridMultilevel"/>
    <w:tmpl w:val="A49A19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B69"/>
    <w:multiLevelType w:val="hybridMultilevel"/>
    <w:tmpl w:val="B9DCAA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92E"/>
    <w:multiLevelType w:val="hybridMultilevel"/>
    <w:tmpl w:val="09F209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3CE"/>
    <w:multiLevelType w:val="hybridMultilevel"/>
    <w:tmpl w:val="08E6C3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690B"/>
    <w:multiLevelType w:val="hybridMultilevel"/>
    <w:tmpl w:val="571A100E"/>
    <w:lvl w:ilvl="0" w:tplc="7D7EE4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30F8D"/>
    <w:multiLevelType w:val="hybridMultilevel"/>
    <w:tmpl w:val="08E6C3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996"/>
    <w:multiLevelType w:val="hybridMultilevel"/>
    <w:tmpl w:val="881C3F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35C9B"/>
    <w:multiLevelType w:val="hybridMultilevel"/>
    <w:tmpl w:val="CF6856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64E1"/>
    <w:multiLevelType w:val="hybridMultilevel"/>
    <w:tmpl w:val="9B64C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43F4"/>
    <w:multiLevelType w:val="hybridMultilevel"/>
    <w:tmpl w:val="8BE8BD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E550B"/>
    <w:multiLevelType w:val="hybridMultilevel"/>
    <w:tmpl w:val="0BA61E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D063E"/>
    <w:multiLevelType w:val="hybridMultilevel"/>
    <w:tmpl w:val="707E1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79DF"/>
    <w:multiLevelType w:val="hybridMultilevel"/>
    <w:tmpl w:val="651E8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6573"/>
    <w:multiLevelType w:val="hybridMultilevel"/>
    <w:tmpl w:val="20608BA2"/>
    <w:lvl w:ilvl="0" w:tplc="EE54D4D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17832"/>
    <w:multiLevelType w:val="hybridMultilevel"/>
    <w:tmpl w:val="C8AAD7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A6B55"/>
    <w:multiLevelType w:val="hybridMultilevel"/>
    <w:tmpl w:val="C5CA6E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35AB2"/>
    <w:multiLevelType w:val="hybridMultilevel"/>
    <w:tmpl w:val="B9DCAA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E63E1"/>
    <w:multiLevelType w:val="hybridMultilevel"/>
    <w:tmpl w:val="DC5A14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8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B7"/>
    <w:rsid w:val="00024A7E"/>
    <w:rsid w:val="00046377"/>
    <w:rsid w:val="00052A44"/>
    <w:rsid w:val="000910B0"/>
    <w:rsid w:val="000926D0"/>
    <w:rsid w:val="000D7380"/>
    <w:rsid w:val="001203A5"/>
    <w:rsid w:val="001E106E"/>
    <w:rsid w:val="002115CA"/>
    <w:rsid w:val="002565D5"/>
    <w:rsid w:val="00264076"/>
    <w:rsid w:val="002865CA"/>
    <w:rsid w:val="002A07F8"/>
    <w:rsid w:val="002A3CCA"/>
    <w:rsid w:val="002C32C3"/>
    <w:rsid w:val="002C49BD"/>
    <w:rsid w:val="0030047B"/>
    <w:rsid w:val="00301407"/>
    <w:rsid w:val="00320888"/>
    <w:rsid w:val="00321504"/>
    <w:rsid w:val="003220BD"/>
    <w:rsid w:val="0036309E"/>
    <w:rsid w:val="003770EB"/>
    <w:rsid w:val="00381249"/>
    <w:rsid w:val="00387515"/>
    <w:rsid w:val="00387B6C"/>
    <w:rsid w:val="0039469E"/>
    <w:rsid w:val="003947BC"/>
    <w:rsid w:val="003A63E5"/>
    <w:rsid w:val="003B4645"/>
    <w:rsid w:val="003C75AB"/>
    <w:rsid w:val="003D0669"/>
    <w:rsid w:val="003F39A3"/>
    <w:rsid w:val="00414B59"/>
    <w:rsid w:val="00426CA1"/>
    <w:rsid w:val="00434904"/>
    <w:rsid w:val="00437A19"/>
    <w:rsid w:val="00443045"/>
    <w:rsid w:val="00445E4A"/>
    <w:rsid w:val="004B3D3A"/>
    <w:rsid w:val="004C0755"/>
    <w:rsid w:val="00504C39"/>
    <w:rsid w:val="0051314E"/>
    <w:rsid w:val="00554DAC"/>
    <w:rsid w:val="005972BB"/>
    <w:rsid w:val="005B7C38"/>
    <w:rsid w:val="005C0986"/>
    <w:rsid w:val="005E12B7"/>
    <w:rsid w:val="005F1684"/>
    <w:rsid w:val="005F36EC"/>
    <w:rsid w:val="00601DF2"/>
    <w:rsid w:val="0061134E"/>
    <w:rsid w:val="00622BDE"/>
    <w:rsid w:val="00624C92"/>
    <w:rsid w:val="00625C77"/>
    <w:rsid w:val="00631314"/>
    <w:rsid w:val="006531F9"/>
    <w:rsid w:val="00657BF5"/>
    <w:rsid w:val="00674153"/>
    <w:rsid w:val="00720825"/>
    <w:rsid w:val="00752BE8"/>
    <w:rsid w:val="00782C67"/>
    <w:rsid w:val="007845DB"/>
    <w:rsid w:val="007B0F2A"/>
    <w:rsid w:val="007F2959"/>
    <w:rsid w:val="00833FBC"/>
    <w:rsid w:val="00842B93"/>
    <w:rsid w:val="00852733"/>
    <w:rsid w:val="008548AD"/>
    <w:rsid w:val="00861AA7"/>
    <w:rsid w:val="00883614"/>
    <w:rsid w:val="008A301F"/>
    <w:rsid w:val="008B5035"/>
    <w:rsid w:val="008F6146"/>
    <w:rsid w:val="00905939"/>
    <w:rsid w:val="00911823"/>
    <w:rsid w:val="00913A3E"/>
    <w:rsid w:val="00916B2B"/>
    <w:rsid w:val="00940D9A"/>
    <w:rsid w:val="00941968"/>
    <w:rsid w:val="00944B5D"/>
    <w:rsid w:val="00945D3A"/>
    <w:rsid w:val="00953AA1"/>
    <w:rsid w:val="00956CDC"/>
    <w:rsid w:val="00972DF2"/>
    <w:rsid w:val="009872F4"/>
    <w:rsid w:val="009966B0"/>
    <w:rsid w:val="009D5B7E"/>
    <w:rsid w:val="009E55B6"/>
    <w:rsid w:val="00A00BD3"/>
    <w:rsid w:val="00A10372"/>
    <w:rsid w:val="00A11ECF"/>
    <w:rsid w:val="00A525AD"/>
    <w:rsid w:val="00A71014"/>
    <w:rsid w:val="00A925A7"/>
    <w:rsid w:val="00A952D4"/>
    <w:rsid w:val="00AA59C2"/>
    <w:rsid w:val="00AC19C3"/>
    <w:rsid w:val="00AE4063"/>
    <w:rsid w:val="00AE757C"/>
    <w:rsid w:val="00AF7620"/>
    <w:rsid w:val="00B54067"/>
    <w:rsid w:val="00B62B52"/>
    <w:rsid w:val="00BA360E"/>
    <w:rsid w:val="00BC35F9"/>
    <w:rsid w:val="00BE2506"/>
    <w:rsid w:val="00BF3832"/>
    <w:rsid w:val="00BF3DBF"/>
    <w:rsid w:val="00BF4AD6"/>
    <w:rsid w:val="00C1080E"/>
    <w:rsid w:val="00C11C35"/>
    <w:rsid w:val="00C1528D"/>
    <w:rsid w:val="00C25402"/>
    <w:rsid w:val="00C270A8"/>
    <w:rsid w:val="00C54E6A"/>
    <w:rsid w:val="00C575BD"/>
    <w:rsid w:val="00C6161C"/>
    <w:rsid w:val="00C61854"/>
    <w:rsid w:val="00C753F9"/>
    <w:rsid w:val="00CA7B24"/>
    <w:rsid w:val="00CB5718"/>
    <w:rsid w:val="00CB7A5F"/>
    <w:rsid w:val="00CE766D"/>
    <w:rsid w:val="00D256C8"/>
    <w:rsid w:val="00D87491"/>
    <w:rsid w:val="00DB2711"/>
    <w:rsid w:val="00E25D9D"/>
    <w:rsid w:val="00E55931"/>
    <w:rsid w:val="00E82B04"/>
    <w:rsid w:val="00EB10FA"/>
    <w:rsid w:val="00EF6007"/>
    <w:rsid w:val="00F0292A"/>
    <w:rsid w:val="00F23632"/>
    <w:rsid w:val="00F54562"/>
    <w:rsid w:val="00F67374"/>
    <w:rsid w:val="00F74E2D"/>
    <w:rsid w:val="00F8023B"/>
    <w:rsid w:val="00FA2C43"/>
    <w:rsid w:val="00FB1987"/>
    <w:rsid w:val="00FB269F"/>
    <w:rsid w:val="00FC0063"/>
    <w:rsid w:val="00FC772B"/>
    <w:rsid w:val="00FD2127"/>
    <w:rsid w:val="00FE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12B7"/>
  </w:style>
  <w:style w:type="paragraph" w:styleId="Zpat">
    <w:name w:val="footer"/>
    <w:basedOn w:val="Normln"/>
    <w:link w:val="ZpatChar"/>
    <w:uiPriority w:val="99"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2B7"/>
  </w:style>
  <w:style w:type="paragraph" w:styleId="Textbubliny">
    <w:name w:val="Balloon Text"/>
    <w:basedOn w:val="Normln"/>
    <w:link w:val="TextbublinyChar"/>
    <w:uiPriority w:val="99"/>
    <w:semiHidden/>
    <w:unhideWhenUsed/>
    <w:rsid w:val="005E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2B7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25D9D"/>
  </w:style>
  <w:style w:type="character" w:customStyle="1" w:styleId="apple-converted-space">
    <w:name w:val="apple-converted-space"/>
    <w:basedOn w:val="Standardnpsmoodstavce"/>
    <w:rsid w:val="00E25D9D"/>
  </w:style>
  <w:style w:type="table" w:styleId="Mkatabulky">
    <w:name w:val="Table Grid"/>
    <w:basedOn w:val="Normlntabulka"/>
    <w:uiPriority w:val="59"/>
    <w:rsid w:val="0072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FD2127"/>
    <w:rPr>
      <w:rFonts w:ascii="Courier" w:hAnsi="Courier" w:cs="Courier"/>
    </w:rPr>
  </w:style>
  <w:style w:type="character" w:styleId="Zstupntext">
    <w:name w:val="Placeholder Text"/>
    <w:basedOn w:val="Standardnpsmoodstavce"/>
    <w:uiPriority w:val="99"/>
    <w:semiHidden/>
    <w:rsid w:val="00752B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lineChart>
        <c:grouping val="standard"/>
        <c:ser>
          <c:idx val="0"/>
          <c:order val="0"/>
          <c:tx>
            <c:v>Cx 200 Hz PE</c:v>
          </c:tx>
          <c:cat>
            <c:numRef>
              <c:f>List1!$A$3:$A$13</c:f>
              <c:numCache>
                <c:formatCode>General</c:formatCode>
                <c:ptCount val="11"/>
                <c:pt idx="0">
                  <c:v>28.6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</c:numCache>
            </c:numRef>
          </c:cat>
          <c:val>
            <c:numRef>
              <c:f>List1!$B$3:$B$13</c:f>
              <c:numCache>
                <c:formatCode>General</c:formatCode>
                <c:ptCount val="11"/>
                <c:pt idx="0">
                  <c:v>119</c:v>
                </c:pt>
                <c:pt idx="1">
                  <c:v>118.6</c:v>
                </c:pt>
                <c:pt idx="2">
                  <c:v>118.6</c:v>
                </c:pt>
                <c:pt idx="3">
                  <c:v>118.3</c:v>
                </c:pt>
                <c:pt idx="4">
                  <c:v>117.9</c:v>
                </c:pt>
                <c:pt idx="5">
                  <c:v>117.7</c:v>
                </c:pt>
                <c:pt idx="6">
                  <c:v>117.4</c:v>
                </c:pt>
                <c:pt idx="7">
                  <c:v>117.3</c:v>
                </c:pt>
                <c:pt idx="8">
                  <c:v>117.2</c:v>
                </c:pt>
                <c:pt idx="9">
                  <c:v>117.1</c:v>
                </c:pt>
                <c:pt idx="10">
                  <c:v>116.9</c:v>
                </c:pt>
              </c:numCache>
            </c:numRef>
          </c:val>
        </c:ser>
        <c:ser>
          <c:idx val="1"/>
          <c:order val="1"/>
          <c:tx>
            <c:v>Cx 20 kHz PE</c:v>
          </c:tx>
          <c:cat>
            <c:numRef>
              <c:f>List1!$A$3:$A$13</c:f>
              <c:numCache>
                <c:formatCode>General</c:formatCode>
                <c:ptCount val="11"/>
                <c:pt idx="0">
                  <c:v>28.6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</c:numCache>
            </c:numRef>
          </c:cat>
          <c:val>
            <c:numRef>
              <c:f>List1!$D$3:$D$13</c:f>
              <c:numCache>
                <c:formatCode>General</c:formatCode>
                <c:ptCount val="11"/>
                <c:pt idx="0">
                  <c:v>119.28</c:v>
                </c:pt>
                <c:pt idx="1">
                  <c:v>119.2</c:v>
                </c:pt>
                <c:pt idx="2">
                  <c:v>118.9</c:v>
                </c:pt>
                <c:pt idx="3">
                  <c:v>118.6</c:v>
                </c:pt>
                <c:pt idx="4">
                  <c:v>118.26</c:v>
                </c:pt>
                <c:pt idx="5">
                  <c:v>118.02</c:v>
                </c:pt>
                <c:pt idx="6">
                  <c:v>117.73</c:v>
                </c:pt>
                <c:pt idx="7">
                  <c:v>117.48</c:v>
                </c:pt>
                <c:pt idx="8">
                  <c:v>117.27</c:v>
                </c:pt>
                <c:pt idx="9">
                  <c:v>117.1</c:v>
                </c:pt>
                <c:pt idx="10">
                  <c:v>116.6</c:v>
                </c:pt>
              </c:numCache>
            </c:numRef>
          </c:val>
        </c:ser>
        <c:ser>
          <c:idx val="3"/>
          <c:order val="2"/>
          <c:tx>
            <c:v>Cx 200 Hz PVC</c:v>
          </c:tx>
          <c:cat>
            <c:numRef>
              <c:f>List1!$A$3:$A$13</c:f>
              <c:numCache>
                <c:formatCode>General</c:formatCode>
                <c:ptCount val="11"/>
                <c:pt idx="0">
                  <c:v>28.6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</c:numCache>
            </c:numRef>
          </c:cat>
          <c:val>
            <c:numRef>
              <c:f>List1!$B$17:$B$27</c:f>
              <c:numCache>
                <c:formatCode>General</c:formatCode>
                <c:ptCount val="11"/>
                <c:pt idx="0">
                  <c:v>364.2</c:v>
                </c:pt>
                <c:pt idx="1">
                  <c:v>382.5</c:v>
                </c:pt>
                <c:pt idx="2">
                  <c:v>415.3</c:v>
                </c:pt>
                <c:pt idx="3">
                  <c:v>446.2</c:v>
                </c:pt>
                <c:pt idx="4">
                  <c:v>485.3</c:v>
                </c:pt>
                <c:pt idx="5">
                  <c:v>520.1</c:v>
                </c:pt>
                <c:pt idx="6">
                  <c:v>561.5</c:v>
                </c:pt>
                <c:pt idx="7">
                  <c:v>592.1</c:v>
                </c:pt>
                <c:pt idx="8">
                  <c:v>618.1</c:v>
                </c:pt>
                <c:pt idx="9">
                  <c:v>641.20000000000005</c:v>
                </c:pt>
                <c:pt idx="10">
                  <c:v>661.1</c:v>
                </c:pt>
              </c:numCache>
            </c:numRef>
          </c:val>
        </c:ser>
        <c:ser>
          <c:idx val="5"/>
          <c:order val="3"/>
          <c:tx>
            <c:v>Cx 20 kHz PVC</c:v>
          </c:tx>
          <c:cat>
            <c:numRef>
              <c:f>List1!$A$3:$A$13</c:f>
              <c:numCache>
                <c:formatCode>General</c:formatCode>
                <c:ptCount val="11"/>
                <c:pt idx="0">
                  <c:v>28.6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</c:numCache>
            </c:numRef>
          </c:cat>
          <c:val>
            <c:numRef>
              <c:f>List1!$D$17:$D$27</c:f>
              <c:numCache>
                <c:formatCode>General</c:formatCode>
                <c:ptCount val="11"/>
                <c:pt idx="0">
                  <c:v>298.39999999999969</c:v>
                </c:pt>
                <c:pt idx="1">
                  <c:v>318.60000000000002</c:v>
                </c:pt>
                <c:pt idx="2">
                  <c:v>331.7</c:v>
                </c:pt>
                <c:pt idx="3">
                  <c:v>348.6</c:v>
                </c:pt>
                <c:pt idx="4">
                  <c:v>367.9</c:v>
                </c:pt>
                <c:pt idx="5">
                  <c:v>390.1</c:v>
                </c:pt>
                <c:pt idx="6">
                  <c:v>415.7</c:v>
                </c:pt>
                <c:pt idx="7">
                  <c:v>445.3</c:v>
                </c:pt>
                <c:pt idx="8">
                  <c:v>472.6</c:v>
                </c:pt>
                <c:pt idx="9">
                  <c:v>506.1</c:v>
                </c:pt>
                <c:pt idx="10">
                  <c:v>543.79999999999995</c:v>
                </c:pt>
              </c:numCache>
            </c:numRef>
          </c:val>
        </c:ser>
        <c:marker val="1"/>
        <c:axId val="93935488"/>
        <c:axId val="93937024"/>
      </c:lineChart>
      <c:catAx>
        <c:axId val="93935488"/>
        <c:scaling>
          <c:orientation val="minMax"/>
        </c:scaling>
        <c:axPos val="b"/>
        <c:numFmt formatCode="General" sourceLinked="1"/>
        <c:tickLblPos val="nextTo"/>
        <c:crossAx val="93937024"/>
        <c:crosses val="autoZero"/>
        <c:auto val="1"/>
        <c:lblAlgn val="ctr"/>
        <c:lblOffset val="100"/>
      </c:catAx>
      <c:valAx>
        <c:axId val="93937024"/>
        <c:scaling>
          <c:orientation val="minMax"/>
        </c:scaling>
        <c:axPos val="l"/>
        <c:majorGridlines/>
        <c:numFmt formatCode="General" sourceLinked="1"/>
        <c:tickLblPos val="nextTo"/>
        <c:crossAx val="9393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0.10311203347643574"/>
          <c:y val="5.1400453793378487E-2"/>
          <c:w val="0.69430336832895856"/>
          <c:h val="0.79822506561679785"/>
        </c:manualLayout>
      </c:layout>
      <c:lineChart>
        <c:grouping val="standard"/>
        <c:ser>
          <c:idx val="0"/>
          <c:order val="0"/>
          <c:tx>
            <c:v>D 200 Hz PVC</c:v>
          </c:tx>
          <c:cat>
            <c:numRef>
              <c:f>List1!$A$17:$A$27</c:f>
              <c:numCache>
                <c:formatCode>General</c:formatCode>
                <c:ptCount val="11"/>
                <c:pt idx="0">
                  <c:v>28.6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</c:numCache>
            </c:numRef>
          </c:cat>
          <c:val>
            <c:numRef>
              <c:f>List1!$C$17:$C$27</c:f>
              <c:numCache>
                <c:formatCode>General</c:formatCode>
                <c:ptCount val="11"/>
                <c:pt idx="0">
                  <c:v>6.25E-2</c:v>
                </c:pt>
                <c:pt idx="1">
                  <c:v>7.4900000000000022E-2</c:v>
                </c:pt>
                <c:pt idx="2">
                  <c:v>8.7100000000000025E-2</c:v>
                </c:pt>
                <c:pt idx="3">
                  <c:v>9.5600000000000046E-2</c:v>
                </c:pt>
                <c:pt idx="4">
                  <c:v>9.7800000000000026E-2</c:v>
                </c:pt>
                <c:pt idx="5">
                  <c:v>9.5900000000000041E-2</c:v>
                </c:pt>
                <c:pt idx="6">
                  <c:v>9.0300000000000005E-2</c:v>
                </c:pt>
                <c:pt idx="7">
                  <c:v>8.2300000000000012E-2</c:v>
                </c:pt>
                <c:pt idx="8">
                  <c:v>7.4200000000000002E-2</c:v>
                </c:pt>
                <c:pt idx="9">
                  <c:v>6.7800000000000013E-2</c:v>
                </c:pt>
                <c:pt idx="10">
                  <c:v>6.450000000000003E-2</c:v>
                </c:pt>
              </c:numCache>
            </c:numRef>
          </c:val>
        </c:ser>
        <c:ser>
          <c:idx val="1"/>
          <c:order val="1"/>
          <c:tx>
            <c:v>D 20 kHz PVC</c:v>
          </c:tx>
          <c:cat>
            <c:numRef>
              <c:f>List1!$A$17:$A$27</c:f>
              <c:numCache>
                <c:formatCode>General</c:formatCode>
                <c:ptCount val="11"/>
                <c:pt idx="0">
                  <c:v>28.6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</c:numCache>
            </c:numRef>
          </c:cat>
          <c:val>
            <c:numRef>
              <c:f>List1!$E$17:$E$27</c:f>
              <c:numCache>
                <c:formatCode>General</c:formatCode>
                <c:ptCount val="11"/>
                <c:pt idx="0">
                  <c:v>4.3199999999999995E-2</c:v>
                </c:pt>
                <c:pt idx="1">
                  <c:v>5.2700000000000038E-2</c:v>
                </c:pt>
                <c:pt idx="2">
                  <c:v>6.5199999999999994E-2</c:v>
                </c:pt>
                <c:pt idx="3">
                  <c:v>4.9200000000000021E-2</c:v>
                </c:pt>
                <c:pt idx="4">
                  <c:v>4.2700000000000043E-2</c:v>
                </c:pt>
                <c:pt idx="5">
                  <c:v>5.5000000000000014E-2</c:v>
                </c:pt>
                <c:pt idx="6">
                  <c:v>6.5800000000000011E-2</c:v>
                </c:pt>
                <c:pt idx="7">
                  <c:v>7.2800000000000031E-2</c:v>
                </c:pt>
                <c:pt idx="8">
                  <c:v>7.4800000000000033E-2</c:v>
                </c:pt>
                <c:pt idx="9">
                  <c:v>7.2300000000000073E-2</c:v>
                </c:pt>
                <c:pt idx="10">
                  <c:v>6.4199999999999993E-2</c:v>
                </c:pt>
              </c:numCache>
            </c:numRef>
          </c:val>
        </c:ser>
        <c:marker val="1"/>
        <c:axId val="93965696"/>
        <c:axId val="93967488"/>
      </c:lineChart>
      <c:catAx>
        <c:axId val="93965696"/>
        <c:scaling>
          <c:orientation val="minMax"/>
        </c:scaling>
        <c:axPos val="b"/>
        <c:numFmt formatCode="General" sourceLinked="1"/>
        <c:tickLblPos val="nextTo"/>
        <c:crossAx val="93967488"/>
        <c:crosses val="autoZero"/>
        <c:auto val="1"/>
        <c:lblAlgn val="ctr"/>
        <c:lblOffset val="100"/>
      </c:catAx>
      <c:valAx>
        <c:axId val="93967488"/>
        <c:scaling>
          <c:orientation val="minMax"/>
        </c:scaling>
        <c:axPos val="l"/>
        <c:majorGridlines/>
        <c:numFmt formatCode="General" sourceLinked="1"/>
        <c:tickLblPos val="nextTo"/>
        <c:crossAx val="9396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D73E-0882-4F81-AF73-FA884E1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kohost</dc:creator>
  <cp:lastModifiedBy>kohost</cp:lastModifiedBy>
  <cp:revision>5</cp:revision>
  <cp:lastPrinted>2010-10-11T08:27:00Z</cp:lastPrinted>
  <dcterms:created xsi:type="dcterms:W3CDTF">2010-10-21T18:48:00Z</dcterms:created>
  <dcterms:modified xsi:type="dcterms:W3CDTF">2010-10-26T14:47:00Z</dcterms:modified>
</cp:coreProperties>
</file>